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4"/>
          <w:szCs w:val="24"/>
          <w:color w:val="auto"/>
        </w:rPr>
      </w:pPr>
    </w:p>
    <w:p>
      <w:pPr>
        <w:jc w:val="center"/>
        <w:ind w:left="3920" w:right="940" w:hanging="2972"/>
        <w:spacing w:after="0" w:line="503" w:lineRule="auto"/>
        <w:tabs>
          <w:tab w:leader="none" w:pos="1163"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 xml:space="preserve">QUARTERLY REPORT PURSUANT TO SECTION 13 OR 15(d) OF THE SECURITIES EXCHANGE ACT OF 1934 </w:t>
      </w:r>
      <w:r>
        <w:rPr>
          <w:rFonts w:ascii="Times New Roman" w:cs="Times New Roman" w:eastAsia="Times New Roman" w:hAnsi="Times New Roman"/>
          <w:sz w:val="18"/>
          <w:szCs w:val="18"/>
          <w:color w:val="auto"/>
        </w:rPr>
        <w:t xml:space="preserve">For the quarterly period ended </w:t>
      </w:r>
      <w:r>
        <w:rPr>
          <w:rFonts w:ascii="Times New Roman" w:cs="Times New Roman" w:eastAsia="Times New Roman" w:hAnsi="Times New Roman"/>
          <w:sz w:val="18"/>
          <w:szCs w:val="18"/>
          <w:b w:val="1"/>
          <w:bCs w:val="1"/>
          <w:color w:val="auto"/>
        </w:rPr>
        <w:t>March 31, 2026</w:t>
      </w: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21" w:lineRule="exact"/>
        <w:rPr>
          <w:sz w:val="24"/>
          <w:szCs w:val="24"/>
          <w:color w:val="auto"/>
        </w:rPr>
      </w:pPr>
    </w:p>
    <w:p>
      <w:pPr>
        <w:ind w:left="1140" w:hanging="197"/>
        <w:spacing w:after="0"/>
        <w:tabs>
          <w:tab w:leader="none" w:pos="1140"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9"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8"/>
          <w:szCs w:val="18"/>
          <w:color w:val="auto"/>
        </w:rPr>
        <w:t>For the transition period from ___________ to ___________</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000-41218</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Zapata Quantum,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charter)</w:t>
      </w:r>
    </w:p>
    <w:p>
      <w:pPr>
        <w:spacing w:after="0" w:line="216"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7700" w:type="dxa"/>
            <w:vAlign w:val="bottom"/>
            <w:gridSpan w:val="3"/>
          </w:tcPr>
          <w:p>
            <w:pPr>
              <w:jc w:val="center"/>
              <w:ind w:right="194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540" w:type="dxa"/>
            <w:vAlign w:val="bottom"/>
          </w:tcPr>
          <w:p>
            <w:pPr>
              <w:jc w:val="center"/>
              <w:ind w:right="1750"/>
              <w:spacing w:after="0"/>
              <w:rPr>
                <w:sz w:val="20"/>
                <w:szCs w:val="20"/>
                <w:color w:val="auto"/>
              </w:rPr>
            </w:pPr>
            <w:r>
              <w:rPr>
                <w:rFonts w:ascii="Times New Roman" w:cs="Times New Roman" w:eastAsia="Times New Roman" w:hAnsi="Times New Roman"/>
                <w:sz w:val="18"/>
                <w:szCs w:val="18"/>
                <w:b w:val="1"/>
                <w:bCs w:val="1"/>
                <w:color w:val="auto"/>
                <w:w w:val="98"/>
              </w:rPr>
              <w:t>98-1578373</w:t>
            </w:r>
          </w:p>
        </w:tc>
        <w:tc>
          <w:tcPr>
            <w:tcW w:w="0" w:type="dxa"/>
            <w:vAlign w:val="bottom"/>
          </w:tcPr>
          <w:p>
            <w:pPr>
              <w:spacing w:after="0"/>
              <w:rPr>
                <w:sz w:val="1"/>
                <w:szCs w:val="1"/>
                <w:color w:val="auto"/>
              </w:rPr>
            </w:pPr>
          </w:p>
        </w:tc>
      </w:tr>
      <w:tr>
        <w:trPr>
          <w:trHeight w:val="27"/>
        </w:trPr>
        <w:tc>
          <w:tcPr>
            <w:tcW w:w="5740" w:type="dxa"/>
            <w:vAlign w:val="bottom"/>
            <w:tcBorders>
              <w:bottom w:val="single" w:sz="8" w:color="auto"/>
            </w:tcBorders>
          </w:tcPr>
          <w:p>
            <w:pPr>
              <w:spacing w:after="0"/>
              <w:rPr>
                <w:sz w:val="2"/>
                <w:szCs w:val="2"/>
                <w:color w:val="auto"/>
              </w:rPr>
            </w:pPr>
          </w:p>
        </w:tc>
        <w:tc>
          <w:tcPr>
            <w:tcW w:w="120" w:type="dxa"/>
            <w:vAlign w:val="bottom"/>
            <w:vMerge w:val="restart"/>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3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574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i w:val="1"/>
                <w:iCs w:val="1"/>
                <w:color w:val="auto"/>
              </w:rPr>
              <w:t>(State or other jurisdiction of</w:t>
            </w:r>
          </w:p>
        </w:tc>
        <w:tc>
          <w:tcPr>
            <w:tcW w:w="120" w:type="dxa"/>
            <w:vAlign w:val="bottom"/>
            <w:vMerge w:val="continue"/>
          </w:tcPr>
          <w:p>
            <w:pPr>
              <w:spacing w:after="0"/>
              <w:rPr>
                <w:sz w:val="16"/>
                <w:szCs w:val="16"/>
                <w:color w:val="auto"/>
              </w:rPr>
            </w:pPr>
          </w:p>
        </w:tc>
        <w:tc>
          <w:tcPr>
            <w:tcW w:w="1840" w:type="dxa"/>
            <w:vAlign w:val="bottom"/>
          </w:tcPr>
          <w:p>
            <w:pPr>
              <w:spacing w:after="0"/>
              <w:rPr>
                <w:sz w:val="16"/>
                <w:szCs w:val="16"/>
                <w:color w:val="auto"/>
              </w:rPr>
            </w:pPr>
          </w:p>
        </w:tc>
        <w:tc>
          <w:tcPr>
            <w:tcW w:w="3540" w:type="dxa"/>
            <w:vAlign w:val="bottom"/>
          </w:tcPr>
          <w:p>
            <w:pPr>
              <w:jc w:val="center"/>
              <w:ind w:right="1770"/>
              <w:spacing w:after="0" w:line="189" w:lineRule="exact"/>
              <w:rPr>
                <w:sz w:val="20"/>
                <w:szCs w:val="20"/>
                <w:color w:val="auto"/>
              </w:rPr>
            </w:pPr>
            <w:r>
              <w:rPr>
                <w:rFonts w:ascii="Times New Roman" w:cs="Times New Roman" w:eastAsia="Times New Roman" w:hAnsi="Times New Roman"/>
                <w:sz w:val="18"/>
                <w:szCs w:val="18"/>
                <w:i w:val="1"/>
                <w:iCs w:val="1"/>
                <w:color w:val="auto"/>
                <w:w w:val="99"/>
              </w:rPr>
              <w:t>(I.R.S. Employer</w:t>
            </w:r>
          </w:p>
        </w:tc>
        <w:tc>
          <w:tcPr>
            <w:tcW w:w="0" w:type="dxa"/>
            <w:vAlign w:val="bottom"/>
          </w:tcPr>
          <w:p>
            <w:pPr>
              <w:spacing w:after="0"/>
              <w:rPr>
                <w:sz w:val="1"/>
                <w:szCs w:val="1"/>
                <w:color w:val="auto"/>
              </w:rPr>
            </w:pPr>
          </w:p>
        </w:tc>
      </w:tr>
      <w:tr>
        <w:trPr>
          <w:trHeight w:val="236"/>
        </w:trPr>
        <w:tc>
          <w:tcPr>
            <w:tcW w:w="7700" w:type="dxa"/>
            <w:vAlign w:val="bottom"/>
            <w:gridSpan w:val="3"/>
          </w:tcPr>
          <w:p>
            <w:pPr>
              <w:jc w:val="center"/>
              <w:ind w:right="1960"/>
              <w:spacing w:after="0"/>
              <w:rPr>
                <w:sz w:val="20"/>
                <w:szCs w:val="20"/>
                <w:color w:val="auto"/>
              </w:rPr>
            </w:pPr>
            <w:r>
              <w:rPr>
                <w:rFonts w:ascii="Times New Roman" w:cs="Times New Roman" w:eastAsia="Times New Roman" w:hAnsi="Times New Roman"/>
                <w:sz w:val="18"/>
                <w:szCs w:val="18"/>
                <w:i w:val="1"/>
                <w:iCs w:val="1"/>
                <w:color w:val="auto"/>
                <w:w w:val="99"/>
              </w:rPr>
              <w:t>incorporation or organization)</w:t>
            </w:r>
          </w:p>
        </w:tc>
        <w:tc>
          <w:tcPr>
            <w:tcW w:w="3540" w:type="dxa"/>
            <w:vAlign w:val="bottom"/>
          </w:tcPr>
          <w:p>
            <w:pPr>
              <w:jc w:val="center"/>
              <w:ind w:right="1750"/>
              <w:spacing w:after="0"/>
              <w:rPr>
                <w:sz w:val="20"/>
                <w:szCs w:val="20"/>
                <w:color w:val="auto"/>
              </w:rPr>
            </w:pPr>
            <w:r>
              <w:rPr>
                <w:rFonts w:ascii="Times New Roman" w:cs="Times New Roman" w:eastAsia="Times New Roman" w:hAnsi="Times New Roman"/>
                <w:sz w:val="18"/>
                <w:szCs w:val="18"/>
                <w:i w:val="1"/>
                <w:iCs w:val="1"/>
                <w:color w:val="auto"/>
              </w:rPr>
              <w:t>Identification No.)</w:t>
            </w:r>
          </w:p>
        </w:tc>
        <w:tc>
          <w:tcPr>
            <w:tcW w:w="0" w:type="dxa"/>
            <w:vAlign w:val="bottom"/>
          </w:tcPr>
          <w:p>
            <w:pPr>
              <w:spacing w:after="0"/>
              <w:rPr>
                <w:sz w:val="1"/>
                <w:szCs w:val="1"/>
                <w:color w:val="auto"/>
              </w:rPr>
            </w:pPr>
          </w:p>
        </w:tc>
      </w:tr>
      <w:tr>
        <w:trPr>
          <w:trHeight w:val="437"/>
        </w:trPr>
        <w:tc>
          <w:tcPr>
            <w:tcW w:w="7700" w:type="dxa"/>
            <w:vAlign w:val="bottom"/>
            <w:gridSpan w:val="3"/>
          </w:tcPr>
          <w:p>
            <w:pPr>
              <w:jc w:val="center"/>
              <w:ind w:right="1940"/>
              <w:spacing w:after="0"/>
              <w:rPr>
                <w:sz w:val="20"/>
                <w:szCs w:val="20"/>
                <w:color w:val="auto"/>
              </w:rPr>
            </w:pPr>
            <w:r>
              <w:rPr>
                <w:rFonts w:ascii="Times New Roman" w:cs="Times New Roman" w:eastAsia="Times New Roman" w:hAnsi="Times New Roman"/>
                <w:sz w:val="18"/>
                <w:szCs w:val="18"/>
                <w:b w:val="1"/>
                <w:bCs w:val="1"/>
                <w:color w:val="auto"/>
                <w:w w:val="99"/>
              </w:rPr>
              <w:t>6 Liberty Square, #2488</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7700" w:type="dxa"/>
            <w:vAlign w:val="bottom"/>
            <w:gridSpan w:val="3"/>
          </w:tcPr>
          <w:p>
            <w:pPr>
              <w:jc w:val="center"/>
              <w:ind w:right="1940"/>
              <w:spacing w:after="0"/>
              <w:rPr>
                <w:sz w:val="20"/>
                <w:szCs w:val="20"/>
                <w:color w:val="auto"/>
              </w:rPr>
            </w:pPr>
            <w:r>
              <w:rPr>
                <w:rFonts w:ascii="Times New Roman" w:cs="Times New Roman" w:eastAsia="Times New Roman" w:hAnsi="Times New Roman"/>
                <w:sz w:val="18"/>
                <w:szCs w:val="18"/>
                <w:b w:val="1"/>
                <w:bCs w:val="1"/>
                <w:color w:val="auto"/>
                <w:w w:val="99"/>
              </w:rPr>
              <w:t>Boston, MA</w:t>
            </w:r>
          </w:p>
        </w:tc>
        <w:tc>
          <w:tcPr>
            <w:tcW w:w="3540" w:type="dxa"/>
            <w:vAlign w:val="bottom"/>
          </w:tcPr>
          <w:p>
            <w:pPr>
              <w:jc w:val="center"/>
              <w:ind w:right="1710"/>
              <w:spacing w:after="0"/>
              <w:rPr>
                <w:sz w:val="20"/>
                <w:szCs w:val="20"/>
                <w:color w:val="auto"/>
              </w:rPr>
            </w:pPr>
            <w:r>
              <w:rPr>
                <w:rFonts w:ascii="Times New Roman" w:cs="Times New Roman" w:eastAsia="Times New Roman" w:hAnsi="Times New Roman"/>
                <w:sz w:val="18"/>
                <w:szCs w:val="18"/>
                <w:b w:val="1"/>
                <w:bCs w:val="1"/>
                <w:color w:val="auto"/>
              </w:rPr>
              <w:t>02109</w:t>
            </w:r>
          </w:p>
        </w:tc>
        <w:tc>
          <w:tcPr>
            <w:tcW w:w="0" w:type="dxa"/>
            <w:vAlign w:val="bottom"/>
          </w:tcPr>
          <w:p>
            <w:pPr>
              <w:spacing w:after="0"/>
              <w:rPr>
                <w:sz w:val="1"/>
                <w:szCs w:val="1"/>
                <w:color w:val="auto"/>
              </w:rPr>
            </w:pPr>
          </w:p>
        </w:tc>
      </w:tr>
      <w:tr>
        <w:trPr>
          <w:trHeight w:val="230"/>
        </w:trPr>
        <w:tc>
          <w:tcPr>
            <w:tcW w:w="5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120" w:type="dxa"/>
            <w:vAlign w:val="bottom"/>
          </w:tcPr>
          <w:p>
            <w:pPr>
              <w:spacing w:after="0"/>
              <w:rPr>
                <w:sz w:val="19"/>
                <w:szCs w:val="19"/>
                <w:color w:val="auto"/>
              </w:rPr>
            </w:pPr>
          </w:p>
        </w:tc>
        <w:tc>
          <w:tcPr>
            <w:tcW w:w="1840" w:type="dxa"/>
            <w:vAlign w:val="bottom"/>
            <w:tcBorders>
              <w:top w:val="single" w:sz="8" w:color="auto"/>
            </w:tcBorders>
          </w:tcPr>
          <w:p>
            <w:pPr>
              <w:spacing w:after="0"/>
              <w:rPr>
                <w:sz w:val="19"/>
                <w:szCs w:val="19"/>
                <w:color w:val="auto"/>
              </w:rPr>
            </w:pPr>
          </w:p>
        </w:tc>
        <w:tc>
          <w:tcPr>
            <w:tcW w:w="3540" w:type="dxa"/>
            <w:vAlign w:val="bottom"/>
            <w:tcBorders>
              <w:top w:val="single" w:sz="8" w:color="auto"/>
            </w:tcBorders>
          </w:tcPr>
          <w:p>
            <w:pPr>
              <w:jc w:val="center"/>
              <w:ind w:right="1750"/>
              <w:spacing w:after="0"/>
              <w:rPr>
                <w:sz w:val="20"/>
                <w:szCs w:val="20"/>
                <w:color w:val="auto"/>
              </w:rPr>
            </w:pPr>
            <w:r>
              <w:rPr>
                <w:rFonts w:ascii="Times New Roman" w:cs="Times New Roman" w:eastAsia="Times New Roman" w:hAnsi="Times New Roman"/>
                <w:sz w:val="18"/>
                <w:szCs w:val="18"/>
                <w:i w:val="1"/>
                <w:iCs w:val="1"/>
                <w:color w:val="auto"/>
                <w:w w:val="99"/>
              </w:rPr>
              <w:t>(Zip Code)</w:t>
            </w:r>
          </w:p>
        </w:tc>
        <w:tc>
          <w:tcPr>
            <w:tcW w:w="0" w:type="dxa"/>
            <w:vAlign w:val="bottom"/>
          </w:tcPr>
          <w:p>
            <w:pPr>
              <w:spacing w:after="0"/>
              <w:rPr>
                <w:sz w:val="1"/>
                <w:szCs w:val="1"/>
                <w:color w:val="auto"/>
              </w:rPr>
            </w:pPr>
          </w:p>
        </w:tc>
      </w:tr>
      <w:tr>
        <w:trPr>
          <w:trHeight w:val="425"/>
        </w:trPr>
        <w:tc>
          <w:tcPr>
            <w:tcW w:w="7700" w:type="dxa"/>
            <w:vAlign w:val="bottom"/>
            <w:tcBorders>
              <w:bottom w:val="single" w:sz="8" w:color="auto"/>
            </w:tcBorders>
            <w:gridSpan w:val="3"/>
          </w:tcPr>
          <w:p>
            <w:pPr>
              <w:jc w:val="right"/>
              <w:ind w:right="1520"/>
              <w:spacing w:after="0"/>
              <w:rPr>
                <w:sz w:val="20"/>
                <w:szCs w:val="20"/>
                <w:color w:val="auto"/>
              </w:rPr>
            </w:pPr>
            <w:r>
              <w:rPr>
                <w:rFonts w:ascii="Times New Roman" w:cs="Times New Roman" w:eastAsia="Times New Roman" w:hAnsi="Times New Roman"/>
                <w:sz w:val="18"/>
                <w:szCs w:val="18"/>
                <w:b w:val="1"/>
                <w:bCs w:val="1"/>
                <w:color w:val="auto"/>
              </w:rPr>
              <w:t>(857) 367-9002</w:t>
            </w:r>
          </w:p>
        </w:tc>
        <w:tc>
          <w:tcPr>
            <w:tcW w:w="3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700" w:type="dxa"/>
            <w:vAlign w:val="bottom"/>
            <w:gridSpan w:val="3"/>
          </w:tcPr>
          <w:p>
            <w:pPr>
              <w:jc w:val="center"/>
              <w:ind w:left="3470"/>
              <w:spacing w:after="0"/>
              <w:rPr>
                <w:sz w:val="20"/>
                <w:szCs w:val="20"/>
                <w:color w:val="auto"/>
              </w:rPr>
            </w:pPr>
            <w:r>
              <w:rPr>
                <w:rFonts w:ascii="Times New Roman" w:cs="Times New Roman" w:eastAsia="Times New Roman" w:hAnsi="Times New Roman"/>
                <w:sz w:val="18"/>
                <w:szCs w:val="18"/>
                <w:i w:val="1"/>
                <w:iCs w:val="1"/>
                <w:color w:val="auto"/>
                <w:w w:val="98"/>
              </w:rPr>
              <w:t>(Registrant’s telephone number, including area code)</w:t>
            </w:r>
          </w:p>
        </w:tc>
        <w:tc>
          <w:tcPr>
            <w:tcW w:w="35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7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 None</w:t>
      </w:r>
    </w:p>
    <w:p>
      <w:pPr>
        <w:spacing w:after="0" w:line="225"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checkmark whether the registrant has (1)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580" w:type="dxa"/>
        <w:tblCellMar>
          <w:top w:w="0" w:type="dxa"/>
          <w:left w:w="0" w:type="dxa"/>
          <w:bottom w:w="0" w:type="dxa"/>
          <w:right w:w="0" w:type="dxa"/>
        </w:tblCellMar>
      </w:tblPr>
      <w:tr>
        <w:trPr>
          <w:trHeight w:val="243"/>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700" w:type="dxa"/>
            <w:vAlign w:val="bottom"/>
          </w:tcPr>
          <w:p>
            <w:pPr>
              <w:ind w:left="1340"/>
              <w:spacing w:after="0" w:line="181" w:lineRule="exact"/>
              <w:rPr>
                <w:sz w:val="20"/>
                <w:szCs w:val="20"/>
                <w:color w:val="auto"/>
              </w:rPr>
            </w:pPr>
            <w:r>
              <w:rPr>
                <w:rFonts w:ascii="MS PGothic" w:cs="MS PGothic" w:eastAsia="MS PGothic" w:hAnsi="MS PGothic"/>
                <w:sz w:val="18"/>
                <w:szCs w:val="18"/>
                <w:color w:val="auto"/>
              </w:rPr>
              <w:t>☐</w:t>
            </w: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Accelerated filer</w:t>
            </w:r>
          </w:p>
        </w:tc>
        <w:tc>
          <w:tcPr>
            <w:tcW w:w="1800" w:type="dxa"/>
            <w:vAlign w:val="bottom"/>
          </w:tcPr>
          <w:p>
            <w:pPr>
              <w:ind w:left="16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43"/>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700" w:type="dxa"/>
            <w:vAlign w:val="bottom"/>
          </w:tcPr>
          <w:p>
            <w:pPr>
              <w:ind w:left="1340"/>
              <w:spacing w:after="0" w:line="181" w:lineRule="exact"/>
              <w:rPr>
                <w:sz w:val="20"/>
                <w:szCs w:val="20"/>
                <w:color w:val="auto"/>
              </w:rPr>
            </w:pPr>
            <w:r>
              <w:rPr>
                <w:rFonts w:ascii="MS PGothic" w:cs="MS PGothic" w:eastAsia="MS PGothic" w:hAnsi="MS PGothic"/>
                <w:sz w:val="18"/>
                <w:szCs w:val="18"/>
                <w:color w:val="auto"/>
              </w:rPr>
              <w:t>☒</w:t>
            </w: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800" w:type="dxa"/>
            <w:vAlign w:val="bottom"/>
          </w:tcPr>
          <w:p>
            <w:pPr>
              <w:ind w:left="16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9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Emerging growth company</w:t>
            </w:r>
          </w:p>
        </w:tc>
        <w:tc>
          <w:tcPr>
            <w:tcW w:w="1800" w:type="dxa"/>
            <w:vAlign w:val="bottom"/>
          </w:tcPr>
          <w:p>
            <w:pPr>
              <w:ind w:left="16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9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 provided pursuant to Section 13(a) of the Exchange Act. </w:t>
      </w:r>
      <w:r>
        <w:rPr>
          <w:rFonts w:ascii="MS PGothic" w:cs="MS PGothic" w:eastAsia="MS PGothic" w:hAnsi="MS PGothic"/>
          <w:sz w:val="18"/>
          <w:szCs w:val="18"/>
          <w:color w:val="auto"/>
        </w:rPr>
        <w:t>☒</w:t>
      </w:r>
    </w:p>
    <w:p>
      <w:pPr>
        <w:spacing w:after="0" w:line="13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As of May 8, 2026, the issuer had 187,328,921 shares of its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308610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580" w:type="dxa"/>
            <w:vAlign w:val="bottom"/>
            <w:gridSpan w:val="8"/>
          </w:tcPr>
          <w:p>
            <w:pPr>
              <w:jc w:val="center"/>
              <w:ind w:right="23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580" w:type="dxa"/>
            <w:vAlign w:val="bottom"/>
            <w:gridSpan w:val="8"/>
            <w:vMerge w:val="restart"/>
          </w:tcPr>
          <w:p>
            <w:pPr>
              <w:jc w:val="center"/>
              <w:ind w:right="2380"/>
              <w:spacing w:after="0"/>
              <w:rPr>
                <w:sz w:val="20"/>
                <w:szCs w:val="20"/>
                <w:color w:val="auto"/>
              </w:rPr>
            </w:pPr>
            <w:r>
              <w:rPr>
                <w:rFonts w:ascii="Times New Roman" w:cs="Times New Roman" w:eastAsia="Times New Roman" w:hAnsi="Times New Roman"/>
                <w:sz w:val="18"/>
                <w:szCs w:val="18"/>
                <w:b w:val="1"/>
                <w:bCs w:val="1"/>
                <w:color w:val="auto"/>
                <w:w w:val="99"/>
              </w:rPr>
              <w:t>PART I - Financial Information</w:t>
            </w:r>
          </w:p>
        </w:tc>
        <w:tc>
          <w:tcPr>
            <w:tcW w:w="6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580" w:type="dxa"/>
            <w:vAlign w:val="bottom"/>
            <w:gridSpan w:val="8"/>
            <w:vMerge w:val="continue"/>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6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1500" w:type="dxa"/>
            <w:vAlign w:val="bottom"/>
            <w:tcBorders>
              <w:bottom w:val="single" w:sz="8" w:color="0000EE"/>
            </w:tcBorders>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Financial Statements</w:t>
            </w:r>
          </w:p>
        </w:tc>
        <w:tc>
          <w:tcPr>
            <w:tcW w:w="8440" w:type="dxa"/>
            <w:vAlign w:val="bottom"/>
            <w:tcBorders>
              <w:bottom w:val="single" w:sz="8" w:color="CCEEFF"/>
            </w:tcBorders>
            <w:gridSpan w:val="11"/>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176"/>
        </w:trPr>
        <w:tc>
          <w:tcPr>
            <w:tcW w:w="660" w:type="dxa"/>
            <w:vAlign w:val="bottom"/>
          </w:tcPr>
          <w:p>
            <w:pPr>
              <w:spacing w:after="0"/>
              <w:rPr>
                <w:sz w:val="15"/>
                <w:szCs w:val="15"/>
                <w:color w:val="auto"/>
              </w:rPr>
            </w:pPr>
          </w:p>
        </w:tc>
        <w:tc>
          <w:tcPr>
            <w:tcW w:w="7380" w:type="dxa"/>
            <w:vAlign w:val="bottom"/>
            <w:tcBorders>
              <w:bottom w:val="single" w:sz="8" w:color="0000EE"/>
            </w:tcBorders>
            <w:gridSpan w:val="15"/>
          </w:tcPr>
          <w:p>
            <w:pPr>
              <w:spacing w:after="0" w:line="156" w:lineRule="exact"/>
              <w:rPr>
                <w:sz w:val="20"/>
                <w:szCs w:val="20"/>
                <w:color w:val="auto"/>
              </w:rPr>
            </w:pPr>
            <w:r>
              <w:rPr>
                <w:rFonts w:ascii="Times New Roman" w:cs="Times New Roman" w:eastAsia="Times New Roman" w:hAnsi="Times New Roman"/>
                <w:sz w:val="18"/>
                <w:szCs w:val="18"/>
                <w:color w:val="0000EE"/>
                <w:w w:val="99"/>
              </w:rPr>
              <w:t>Condensed Consolidated Balance Sheets – As of March 31, 2026 (Unaudited) and December 31, 2025</w:t>
            </w:r>
          </w:p>
        </w:tc>
        <w:tc>
          <w:tcPr>
            <w:tcW w:w="1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48"/>
        </w:trPr>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40" w:type="dxa"/>
            <w:vAlign w:val="bottom"/>
          </w:tcPr>
          <w:p>
            <w:pPr>
              <w:spacing w:after="0"/>
              <w:rPr>
                <w:sz w:val="4"/>
                <w:szCs w:val="4"/>
                <w:color w:val="auto"/>
              </w:rPr>
            </w:pPr>
          </w:p>
        </w:tc>
        <w:tc>
          <w:tcPr>
            <w:tcW w:w="1980" w:type="dxa"/>
            <w:vAlign w:val="bottom"/>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660" w:type="dxa"/>
            <w:vAlign w:val="bottom"/>
            <w:shd w:val="clear" w:color="auto" w:fill="CCEEFF"/>
          </w:tcPr>
          <w:p>
            <w:pPr>
              <w:spacing w:after="0"/>
              <w:rPr>
                <w:sz w:val="15"/>
                <w:szCs w:val="15"/>
                <w:color w:val="auto"/>
              </w:rPr>
            </w:pPr>
          </w:p>
        </w:tc>
        <w:tc>
          <w:tcPr>
            <w:tcW w:w="99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 and Comprehensive Loss (Unaudited) – For the Three Months Ended March 31, 2026</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196"/>
        </w:trPr>
        <w:tc>
          <w:tcPr>
            <w:tcW w:w="660" w:type="dxa"/>
            <w:vAlign w:val="bottom"/>
            <w:tcBorders>
              <w:top w:val="single" w:sz="8" w:color="CCEEFF"/>
            </w:tcBorders>
            <w:shd w:val="clear" w:color="auto" w:fill="CCEEFF"/>
          </w:tcPr>
          <w:p>
            <w:pPr>
              <w:spacing w:after="0"/>
              <w:rPr>
                <w:sz w:val="17"/>
                <w:szCs w:val="17"/>
                <w:color w:val="auto"/>
              </w:rPr>
            </w:pPr>
          </w:p>
        </w:tc>
        <w:tc>
          <w:tcPr>
            <w:tcW w:w="9920" w:type="dxa"/>
            <w:vAlign w:val="bottom"/>
            <w:tcBorders>
              <w:top w:val="single" w:sz="8" w:color="0000EE"/>
            </w:tcBorders>
            <w:gridSpan w:val="17"/>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and 2025</w:t>
            </w:r>
          </w:p>
        </w:tc>
        <w:tc>
          <w:tcPr>
            <w:tcW w:w="2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60" w:type="dxa"/>
            <w:vAlign w:val="bottom"/>
          </w:tcPr>
          <w:p>
            <w:pPr>
              <w:spacing w:after="0"/>
              <w:rPr>
                <w:sz w:val="15"/>
                <w:szCs w:val="15"/>
                <w:color w:val="auto"/>
              </w:rPr>
            </w:pPr>
          </w:p>
        </w:tc>
        <w:tc>
          <w:tcPr>
            <w:tcW w:w="9940" w:type="dxa"/>
            <w:vAlign w:val="bottom"/>
            <w:tcBorders>
              <w:bottom w:val="single" w:sz="8" w:color="0000EE"/>
            </w:tcBorders>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Convertible Preferred Stock and Stockholders’ Deficit (Unaudited) – For the Three Months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196"/>
        </w:trPr>
        <w:tc>
          <w:tcPr>
            <w:tcW w:w="660" w:type="dxa"/>
            <w:vAlign w:val="bottom"/>
          </w:tcPr>
          <w:p>
            <w:pPr>
              <w:spacing w:after="0"/>
              <w:rPr>
                <w:sz w:val="17"/>
                <w:szCs w:val="17"/>
                <w:color w:val="auto"/>
              </w:rPr>
            </w:pPr>
          </w:p>
        </w:tc>
        <w:tc>
          <w:tcPr>
            <w:tcW w:w="994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Ended March 31, 2026 and 2025</w:t>
            </w: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6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60" w:type="dxa"/>
            <w:vAlign w:val="bottom"/>
            <w:shd w:val="clear" w:color="auto" w:fill="CCEEFF"/>
          </w:tcPr>
          <w:p>
            <w:pPr>
              <w:spacing w:after="0"/>
              <w:rPr>
                <w:sz w:val="19"/>
                <w:szCs w:val="19"/>
                <w:color w:val="auto"/>
              </w:rPr>
            </w:pPr>
          </w:p>
        </w:tc>
        <w:tc>
          <w:tcPr>
            <w:tcW w:w="99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(Unaudited) – For the Three Months Ended March 31, 2026 and 2025</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4</w:t>
            </w:r>
          </w:p>
        </w:tc>
        <w:tc>
          <w:tcPr>
            <w:tcW w:w="0" w:type="dxa"/>
            <w:vAlign w:val="bottom"/>
          </w:tcPr>
          <w:p>
            <w:pPr>
              <w:spacing w:after="0"/>
              <w:rPr>
                <w:sz w:val="1"/>
                <w:szCs w:val="1"/>
                <w:color w:val="auto"/>
              </w:rPr>
            </w:pPr>
          </w:p>
        </w:tc>
      </w:tr>
      <w:tr>
        <w:trPr>
          <w:trHeight w:val="176"/>
        </w:trPr>
        <w:tc>
          <w:tcPr>
            <w:tcW w:w="660" w:type="dxa"/>
            <w:vAlign w:val="bottom"/>
            <w:tcBorders>
              <w:top w:val="single" w:sz="8" w:color="CCEEFF"/>
            </w:tcBorders>
          </w:tcPr>
          <w:p>
            <w:pPr>
              <w:spacing w:after="0"/>
              <w:rPr>
                <w:sz w:val="15"/>
                <w:szCs w:val="15"/>
                <w:color w:val="auto"/>
              </w:rPr>
            </w:pPr>
          </w:p>
        </w:tc>
        <w:tc>
          <w:tcPr>
            <w:tcW w:w="8780" w:type="dxa"/>
            <w:vAlign w:val="bottom"/>
            <w:tcBorders>
              <w:top w:val="single" w:sz="8" w:color="0000EE"/>
            </w:tcBorders>
            <w:gridSpan w:val="16"/>
          </w:tcPr>
          <w:p>
            <w:pPr>
              <w:spacing w:after="0" w:line="176" w:lineRule="exact"/>
              <w:rPr>
                <w:sz w:val="20"/>
                <w:szCs w:val="20"/>
                <w:color w:val="auto"/>
              </w:rPr>
            </w:pPr>
            <w:r>
              <w:rPr>
                <w:rFonts w:ascii="Times New Roman" w:cs="Times New Roman" w:eastAsia="Times New Roman" w:hAnsi="Times New Roman"/>
                <w:sz w:val="18"/>
                <w:szCs w:val="18"/>
                <w:color w:val="0000EE"/>
              </w:rPr>
              <w:t>Notes to Condensed Consolidated Financial Statements (Unaudited)</w:t>
            </w:r>
          </w:p>
        </w:tc>
        <w:tc>
          <w:tcPr>
            <w:tcW w:w="1160" w:type="dxa"/>
            <w:vAlign w:val="bottom"/>
            <w:tcBorders>
              <w:top w:val="single" w:sz="8" w:color="CCEEFF"/>
            </w:tcBorders>
            <w:gridSpan w:val="2"/>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48"/>
        </w:trPr>
        <w:tc>
          <w:tcPr>
            <w:tcW w:w="66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5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9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1560" w:type="dxa"/>
            <w:vAlign w:val="bottom"/>
          </w:tcPr>
          <w:p>
            <w:pPr>
              <w:spacing w:after="0"/>
              <w:rPr>
                <w:sz w:val="4"/>
                <w:szCs w:val="4"/>
                <w:color w:val="auto"/>
              </w:rPr>
            </w:pPr>
          </w:p>
        </w:tc>
        <w:tc>
          <w:tcPr>
            <w:tcW w:w="920" w:type="dxa"/>
            <w:vAlign w:val="bottom"/>
          </w:tcPr>
          <w:p>
            <w:pPr>
              <w:spacing w:after="0"/>
              <w:rPr>
                <w:sz w:val="4"/>
                <w:szCs w:val="4"/>
                <w:color w:val="auto"/>
              </w:rPr>
            </w:pPr>
          </w:p>
        </w:tc>
        <w:tc>
          <w:tcPr>
            <w:tcW w:w="14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6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94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13</w:t>
            </w:r>
          </w:p>
        </w:tc>
        <w:tc>
          <w:tcPr>
            <w:tcW w:w="0" w:type="dxa"/>
            <w:vAlign w:val="bottom"/>
          </w:tcPr>
          <w:p>
            <w:pPr>
              <w:spacing w:after="0"/>
              <w:rPr>
                <w:sz w:val="1"/>
                <w:szCs w:val="1"/>
                <w:color w:val="auto"/>
              </w:rPr>
            </w:pPr>
          </w:p>
        </w:tc>
      </w:tr>
      <w:tr>
        <w:trPr>
          <w:trHeight w:val="21"/>
        </w:trPr>
        <w:tc>
          <w:tcPr>
            <w:tcW w:w="6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9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40" w:type="dxa"/>
            <w:vAlign w:val="bottom"/>
            <w:tcBorders>
              <w:top w:val="single" w:sz="8" w:color="0000EE"/>
            </w:tcBorders>
          </w:tcPr>
          <w:p>
            <w:pPr>
              <w:spacing w:after="0" w:line="20" w:lineRule="exact"/>
              <w:rPr>
                <w:sz w:val="1"/>
                <w:szCs w:val="1"/>
                <w:color w:val="auto"/>
              </w:rPr>
            </w:pPr>
          </w:p>
        </w:tc>
        <w:tc>
          <w:tcPr>
            <w:tcW w:w="1560" w:type="dxa"/>
            <w:vAlign w:val="bottom"/>
            <w:tcBorders>
              <w:top w:val="single" w:sz="8" w:color="0000EE"/>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EE"/>
            </w:tcBorders>
            <w:gridSpan w:val="1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5580" w:type="dxa"/>
            <w:vAlign w:val="bottom"/>
            <w:tcBorders>
              <w:bottom w:val="single" w:sz="8" w:color="CCEEFF"/>
            </w:tcBorders>
            <w:gridSpan w:val="6"/>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c>
          <w:tcPr>
            <w:tcW w:w="0" w:type="dxa"/>
            <w:vAlign w:val="bottom"/>
          </w:tcPr>
          <w:p>
            <w:pPr>
              <w:spacing w:after="0"/>
              <w:rPr>
                <w:sz w:val="1"/>
                <w:szCs w:val="1"/>
                <w:color w:val="auto"/>
              </w:rPr>
            </w:pPr>
          </w:p>
        </w:tc>
      </w:tr>
      <w:tr>
        <w:trPr>
          <w:trHeight w:val="175"/>
        </w:trPr>
        <w:tc>
          <w:tcPr>
            <w:tcW w:w="6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94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18</w:t>
            </w:r>
          </w:p>
        </w:tc>
        <w:tc>
          <w:tcPr>
            <w:tcW w:w="0" w:type="dxa"/>
            <w:vAlign w:val="bottom"/>
          </w:tcPr>
          <w:p>
            <w:pPr>
              <w:spacing w:after="0"/>
              <w:rPr>
                <w:sz w:val="1"/>
                <w:szCs w:val="1"/>
                <w:color w:val="auto"/>
              </w:rPr>
            </w:pPr>
          </w:p>
        </w:tc>
      </w:tr>
      <w:tr>
        <w:trPr>
          <w:trHeight w:val="21"/>
        </w:trPr>
        <w:tc>
          <w:tcPr>
            <w:tcW w:w="6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580" w:type="dxa"/>
            <w:vAlign w:val="bottom"/>
            <w:gridSpan w:val="8"/>
          </w:tcPr>
          <w:p>
            <w:pPr>
              <w:jc w:val="center"/>
              <w:ind w:right="2380"/>
              <w:spacing w:after="0"/>
              <w:rPr>
                <w:sz w:val="20"/>
                <w:szCs w:val="20"/>
                <w:color w:val="auto"/>
              </w:rPr>
            </w:pPr>
            <w:r>
              <w:rPr>
                <w:rFonts w:ascii="Times New Roman" w:cs="Times New Roman" w:eastAsia="Times New Roman" w:hAnsi="Times New Roman"/>
                <w:sz w:val="18"/>
                <w:szCs w:val="18"/>
                <w:b w:val="1"/>
                <w:bCs w:val="1"/>
                <w:color w:val="auto"/>
                <w:w w:val="99"/>
              </w:rPr>
              <w:t>Part II - Other Information</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6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94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c>
          <w:tcPr>
            <w:tcW w:w="0" w:type="dxa"/>
            <w:vAlign w:val="bottom"/>
          </w:tcPr>
          <w:p>
            <w:pPr>
              <w:spacing w:after="0"/>
              <w:rPr>
                <w:sz w:val="1"/>
                <w:szCs w:val="1"/>
                <w:color w:val="auto"/>
              </w:rPr>
            </w:pPr>
          </w:p>
        </w:tc>
      </w:tr>
      <w:tr>
        <w:trPr>
          <w:trHeight w:val="21"/>
        </w:trPr>
        <w:tc>
          <w:tcPr>
            <w:tcW w:w="6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9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c>
          <w:tcPr>
            <w:tcW w:w="0" w:type="dxa"/>
            <w:vAlign w:val="bottom"/>
          </w:tcPr>
          <w:p>
            <w:pPr>
              <w:spacing w:after="0"/>
              <w:rPr>
                <w:sz w:val="1"/>
                <w:szCs w:val="1"/>
                <w:color w:val="auto"/>
              </w:rPr>
            </w:pPr>
          </w:p>
        </w:tc>
      </w:tr>
      <w:tr>
        <w:trPr>
          <w:trHeight w:val="21"/>
        </w:trPr>
        <w:tc>
          <w:tcPr>
            <w:tcW w:w="6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40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6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94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9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bottom w:val="single" w:sz="8" w:color="0000EE"/>
            </w:tcBorders>
            <w:gridSpan w:val="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Defaults Upon Senior Securities</w:t>
            </w:r>
          </w:p>
        </w:tc>
        <w:tc>
          <w:tcPr>
            <w:tcW w:w="7620" w:type="dxa"/>
            <w:vAlign w:val="bottom"/>
            <w:tcBorders>
              <w:bottom w:val="single" w:sz="8" w:color="CCEEFF"/>
            </w:tcBorders>
            <w:gridSpan w:val="9"/>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c>
          <w:tcPr>
            <w:tcW w:w="0" w:type="dxa"/>
            <w:vAlign w:val="bottom"/>
          </w:tcPr>
          <w:p>
            <w:pPr>
              <w:spacing w:after="0"/>
              <w:rPr>
                <w:sz w:val="1"/>
                <w:szCs w:val="1"/>
                <w:color w:val="auto"/>
              </w:rPr>
            </w:pPr>
          </w:p>
        </w:tc>
      </w:tr>
      <w:tr>
        <w:trPr>
          <w:trHeight w:val="176"/>
        </w:trPr>
        <w:tc>
          <w:tcPr>
            <w:tcW w:w="6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940" w:type="dxa"/>
            <w:vAlign w:val="bottom"/>
            <w:gridSpan w:val="18"/>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940" w:type="dxa"/>
            <w:vAlign w:val="bottom"/>
            <w:gridSpan w:val="1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19</w:t>
            </w:r>
          </w:p>
        </w:tc>
        <w:tc>
          <w:tcPr>
            <w:tcW w:w="0" w:type="dxa"/>
            <w:vAlign w:val="bottom"/>
          </w:tcPr>
          <w:p>
            <w:pPr>
              <w:spacing w:after="0"/>
              <w:rPr>
                <w:sz w:val="1"/>
                <w:szCs w:val="1"/>
                <w:color w:val="auto"/>
              </w:rPr>
            </w:pPr>
          </w:p>
        </w:tc>
      </w:tr>
      <w:tr>
        <w:trPr>
          <w:trHeight w:val="175"/>
        </w:trPr>
        <w:tc>
          <w:tcPr>
            <w:tcW w:w="66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8640" w:type="dxa"/>
            <w:vAlign w:val="bottom"/>
            <w:tcBorders>
              <w:top w:val="single" w:sz="8" w:color="CCEEFF"/>
            </w:tcBorders>
            <w:gridSpan w:val="13"/>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20</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760" w:type="dxa"/>
            <w:vAlign w:val="bottom"/>
            <w:gridSpan w:val="2"/>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9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10600" w:type="dxa"/>
            <w:vAlign w:val="bottom"/>
            <w:gridSpan w:val="19"/>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21</w:t>
            </w:r>
          </w:p>
        </w:tc>
        <w:tc>
          <w:tcPr>
            <w:tcW w:w="0" w:type="dxa"/>
            <w:vAlign w:val="bottom"/>
          </w:tcPr>
          <w:p>
            <w:pPr>
              <w:spacing w:after="0"/>
              <w:rPr>
                <w:sz w:val="1"/>
                <w:szCs w:val="1"/>
                <w:color w:val="auto"/>
              </w:rPr>
            </w:pPr>
          </w:p>
        </w:tc>
      </w:tr>
      <w:tr>
        <w:trPr>
          <w:trHeight w:val="480"/>
        </w:trPr>
        <w:tc>
          <w:tcPr>
            <w:tcW w:w="66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ZAPATA QUANTUM,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40" w:type="dxa"/>
            <w:vAlign w:val="bottom"/>
            <w:gridSpan w:val="2"/>
          </w:tcPr>
          <w:p>
            <w:pPr>
              <w:jc w:val="right"/>
              <w:ind w:right="66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60" w:type="dxa"/>
            <w:vAlign w:val="bottom"/>
          </w:tcPr>
          <w:p>
            <w:pPr>
              <w:spacing w:after="0"/>
              <w:rPr>
                <w:sz w:val="13"/>
                <w:szCs w:val="13"/>
                <w:color w:val="auto"/>
              </w:rPr>
            </w:pPr>
          </w:p>
        </w:tc>
        <w:tc>
          <w:tcPr>
            <w:tcW w:w="152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37"/>
        </w:trPr>
        <w:tc>
          <w:tcPr>
            <w:tcW w:w="7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gridSpan w:val="2"/>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43"/>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16"/>
        </w:trPr>
        <w:tc>
          <w:tcPr>
            <w:tcW w:w="7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Cash</w:t>
            </w:r>
          </w:p>
        </w:tc>
        <w:tc>
          <w:tcPr>
            <w:tcW w:w="400" w:type="dxa"/>
            <w:vAlign w:val="bottom"/>
            <w:gridSpan w:val="2"/>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642</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1,659</w:t>
            </w:r>
          </w:p>
        </w:tc>
        <w:tc>
          <w:tcPr>
            <w:tcW w:w="80" w:type="dxa"/>
            <w:vAlign w:val="bottom"/>
          </w:tcPr>
          <w:p>
            <w:pPr>
              <w:spacing w:after="0"/>
              <w:rPr>
                <w:sz w:val="18"/>
                <w:szCs w:val="18"/>
                <w:color w:val="auto"/>
              </w:rPr>
            </w:pPr>
          </w:p>
        </w:tc>
      </w:tr>
      <w:tr>
        <w:trPr>
          <w:trHeight w:val="229"/>
        </w:trPr>
        <w:tc>
          <w:tcPr>
            <w:tcW w:w="7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158</w:t>
            </w:r>
          </w:p>
        </w:tc>
        <w:tc>
          <w:tcPr>
            <w:tcW w:w="26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181</w:t>
            </w:r>
          </w:p>
        </w:tc>
      </w:tr>
      <w:tr>
        <w:trPr>
          <w:trHeight w:val="209"/>
        </w:trPr>
        <w:tc>
          <w:tcPr>
            <w:tcW w:w="74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2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7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non-current assets</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404</w:t>
            </w:r>
          </w:p>
        </w:tc>
        <w:tc>
          <w:tcPr>
            <w:tcW w:w="26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432</w:t>
            </w:r>
          </w:p>
        </w:tc>
      </w:tr>
      <w:tr>
        <w:trPr>
          <w:trHeight w:val="263"/>
        </w:trPr>
        <w:tc>
          <w:tcPr>
            <w:tcW w:w="742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2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r>
      <w:tr>
        <w:trPr>
          <w:trHeight w:val="223"/>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43"/>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7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Accounts payable</w:t>
            </w:r>
          </w:p>
        </w:tc>
        <w:tc>
          <w:tcPr>
            <w:tcW w:w="40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4,070</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3,963</w:t>
            </w:r>
          </w:p>
        </w:tc>
        <w:tc>
          <w:tcPr>
            <w:tcW w:w="80" w:type="dxa"/>
            <w:vAlign w:val="bottom"/>
            <w:shd w:val="clear" w:color="auto" w:fill="CCEEFF"/>
          </w:tcPr>
          <w:p>
            <w:pPr>
              <w:spacing w:after="0"/>
              <w:rPr>
                <w:sz w:val="18"/>
                <w:szCs w:val="18"/>
                <w:color w:val="auto"/>
              </w:rPr>
            </w:pPr>
          </w:p>
        </w:tc>
      </w:tr>
      <w:tr>
        <w:trPr>
          <w:trHeight w:val="216"/>
        </w:trPr>
        <w:tc>
          <w:tcPr>
            <w:tcW w:w="7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1,547</w:t>
            </w:r>
          </w:p>
        </w:tc>
        <w:tc>
          <w:tcPr>
            <w:tcW w:w="26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80" w:type="dxa"/>
            <w:vAlign w:val="bottom"/>
          </w:tcPr>
          <w:p>
            <w:pPr>
              <w:spacing w:after="0"/>
              <w:rPr>
                <w:sz w:val="18"/>
                <w:szCs w:val="18"/>
                <w:color w:val="auto"/>
              </w:rPr>
            </w:pPr>
          </w:p>
        </w:tc>
      </w:tr>
      <w:tr>
        <w:trPr>
          <w:trHeight w:val="216"/>
        </w:trPr>
        <w:tc>
          <w:tcPr>
            <w:tcW w:w="7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 liabilities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406</w:t>
            </w:r>
          </w:p>
        </w:tc>
        <w:tc>
          <w:tcPr>
            <w:tcW w:w="26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406</w:t>
            </w:r>
          </w:p>
        </w:tc>
      </w:tr>
      <w:tr>
        <w:trPr>
          <w:trHeight w:val="216"/>
        </w:trPr>
        <w:tc>
          <w:tcPr>
            <w:tcW w:w="7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Convertible promissory notes, current ($300 to related parties)</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3,227</w:t>
            </w:r>
          </w:p>
        </w:tc>
        <w:tc>
          <w:tcPr>
            <w:tcW w:w="26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3,133</w:t>
            </w:r>
          </w:p>
        </w:tc>
        <w:tc>
          <w:tcPr>
            <w:tcW w:w="80" w:type="dxa"/>
            <w:vAlign w:val="bottom"/>
          </w:tcPr>
          <w:p>
            <w:pPr>
              <w:spacing w:after="0"/>
              <w:rPr>
                <w:sz w:val="18"/>
                <w:szCs w:val="18"/>
                <w:color w:val="auto"/>
              </w:rPr>
            </w:pPr>
          </w:p>
        </w:tc>
      </w:tr>
      <w:tr>
        <w:trPr>
          <w:trHeight w:val="229"/>
        </w:trPr>
        <w:tc>
          <w:tcPr>
            <w:tcW w:w="7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Senior secured notes, current</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1,311</w:t>
            </w:r>
          </w:p>
        </w:tc>
        <w:tc>
          <w:tcPr>
            <w:tcW w:w="26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80" w:type="dxa"/>
            <w:vAlign w:val="bottom"/>
            <w:shd w:val="clear" w:color="auto" w:fill="CCEEFF"/>
          </w:tcPr>
          <w:p>
            <w:pPr>
              <w:spacing w:after="0"/>
              <w:rPr>
                <w:sz w:val="19"/>
                <w:szCs w:val="19"/>
                <w:color w:val="auto"/>
              </w:rPr>
            </w:pPr>
          </w:p>
        </w:tc>
      </w:tr>
      <w:tr>
        <w:trPr>
          <w:trHeight w:val="209"/>
        </w:trPr>
        <w:tc>
          <w:tcPr>
            <w:tcW w:w="742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10,561</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10,539</w:t>
            </w:r>
          </w:p>
        </w:tc>
        <w:tc>
          <w:tcPr>
            <w:tcW w:w="100" w:type="dxa"/>
            <w:vAlign w:val="bottom"/>
            <w:tcBorders>
              <w:bottom w:val="single" w:sz="8" w:color="CCEEFF"/>
            </w:tcBorders>
            <w:gridSpan w:val="2"/>
          </w:tcPr>
          <w:p>
            <w:pPr>
              <w:spacing w:after="0"/>
              <w:rPr>
                <w:sz w:val="18"/>
                <w:szCs w:val="18"/>
                <w:color w:val="auto"/>
              </w:rPr>
            </w:pPr>
          </w:p>
        </w:tc>
      </w:tr>
      <w:tr>
        <w:trPr>
          <w:trHeight w:val="237"/>
        </w:trPr>
        <w:tc>
          <w:tcPr>
            <w:tcW w:w="7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5)</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43"/>
        </w:trPr>
        <w:tc>
          <w:tcPr>
            <w:tcW w:w="742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98"/>
        </w:trPr>
        <w:tc>
          <w:tcPr>
            <w:tcW w:w="7420" w:type="dxa"/>
            <w:vAlign w:val="bottom"/>
            <w:shd w:val="clear" w:color="auto" w:fill="CCEEFF"/>
          </w:tcPr>
          <w:p>
            <w:pPr>
              <w:ind w:left="260"/>
              <w:spacing w:after="0" w:line="198" w:lineRule="exact"/>
              <w:rPr>
                <w:sz w:val="20"/>
                <w:szCs w:val="20"/>
                <w:color w:val="auto"/>
              </w:rPr>
            </w:pPr>
            <w:r>
              <w:rPr>
                <w:rFonts w:ascii="Times New Roman" w:cs="Times New Roman" w:eastAsia="Times New Roman" w:hAnsi="Times New Roman"/>
                <w:sz w:val="18"/>
                <w:szCs w:val="18"/>
                <w:color w:val="auto"/>
              </w:rPr>
              <w:t>Convertible preferred stock (Series A), $0.0001 par value; 15,000 shares authorized; 15,000 and</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7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15,000 shares issued and outstanding at March 31, 2026 and December 31, 2025, respectively</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52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420" w:type="dxa"/>
            <w:vAlign w:val="bottom"/>
          </w:tcPr>
          <w:p>
            <w:pPr>
              <w:ind w:left="260"/>
              <w:spacing w:after="0" w:line="198" w:lineRule="exact"/>
              <w:rPr>
                <w:sz w:val="20"/>
                <w:szCs w:val="20"/>
                <w:color w:val="auto"/>
              </w:rPr>
            </w:pPr>
            <w:r>
              <w:rPr>
                <w:rFonts w:ascii="Times New Roman" w:cs="Times New Roman" w:eastAsia="Times New Roman" w:hAnsi="Times New Roman"/>
                <w:sz w:val="18"/>
                <w:szCs w:val="18"/>
                <w:color w:val="auto"/>
              </w:rPr>
              <w:t>Convertible preferred stock (Series C), $0.0001 par value; 23,000 shares authorized; 11,983 and</w:t>
            </w: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4"/>
        </w:trPr>
        <w:tc>
          <w:tcPr>
            <w:tcW w:w="7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11,983 shares issued and outstanding at March 31, 2026 and December 31, 2025, respectively</w:t>
            </w: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5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420" w:type="dxa"/>
            <w:vAlign w:val="bottom"/>
            <w:shd w:val="clear" w:color="auto" w:fill="CCEEFF"/>
          </w:tcPr>
          <w:p>
            <w:pPr>
              <w:ind w:left="260"/>
              <w:spacing w:after="0" w:line="198" w:lineRule="exact"/>
              <w:rPr>
                <w:sz w:val="20"/>
                <w:szCs w:val="20"/>
                <w:color w:val="auto"/>
              </w:rPr>
            </w:pPr>
            <w:r>
              <w:rPr>
                <w:rFonts w:ascii="Times New Roman" w:cs="Times New Roman" w:eastAsia="Times New Roman" w:hAnsi="Times New Roman"/>
                <w:sz w:val="18"/>
                <w:szCs w:val="18"/>
                <w:color w:val="auto"/>
              </w:rPr>
              <w:t>Common Stock, $0.0001 par value; 600,000,000 shares authorized; 172,318,506 and 172,318,506</w:t>
            </w: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4"/>
        </w:trPr>
        <w:tc>
          <w:tcPr>
            <w:tcW w:w="7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shares issued and outstanding at March 31, 2026 and December 31, 2025, respectively</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6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20"/>
                <w:szCs w:val="20"/>
                <w:color w:val="auto"/>
              </w:rPr>
            </w:pPr>
          </w:p>
        </w:tc>
      </w:tr>
      <w:tr>
        <w:trPr>
          <w:trHeight w:val="216"/>
        </w:trPr>
        <w:tc>
          <w:tcPr>
            <w:tcW w:w="7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110,449</w:t>
            </w:r>
          </w:p>
        </w:tc>
        <w:tc>
          <w:tcPr>
            <w:tcW w:w="260" w:type="dxa"/>
            <w:vAlign w:val="bottom"/>
          </w:tcPr>
          <w:p>
            <w:pPr>
              <w:spacing w:after="0"/>
              <w:rPr>
                <w:sz w:val="18"/>
                <w:szCs w:val="18"/>
                <w:color w:val="auto"/>
              </w:rPr>
            </w:pPr>
          </w:p>
        </w:tc>
        <w:tc>
          <w:tcPr>
            <w:tcW w:w="15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110,211</w:t>
            </w:r>
          </w:p>
        </w:tc>
      </w:tr>
      <w:tr>
        <w:trPr>
          <w:trHeight w:val="216"/>
        </w:trPr>
        <w:tc>
          <w:tcPr>
            <w:tcW w:w="7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(180)</w:t>
            </w:r>
          </w:p>
        </w:tc>
        <w:tc>
          <w:tcPr>
            <w:tcW w:w="26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(162)</w:t>
            </w:r>
          </w:p>
        </w:tc>
      </w:tr>
      <w:tr>
        <w:trPr>
          <w:trHeight w:val="229"/>
        </w:trPr>
        <w:tc>
          <w:tcPr>
            <w:tcW w:w="7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(119,643)</w:t>
            </w:r>
          </w:p>
        </w:tc>
        <w:tc>
          <w:tcPr>
            <w:tcW w:w="260" w:type="dxa"/>
            <w:vAlign w:val="bottom"/>
          </w:tcPr>
          <w:p>
            <w:pPr>
              <w:spacing w:after="0"/>
              <w:rPr>
                <w:sz w:val="19"/>
                <w:szCs w:val="19"/>
                <w:color w:val="auto"/>
              </w:rPr>
            </w:pPr>
          </w:p>
        </w:tc>
        <w:tc>
          <w:tcPr>
            <w:tcW w:w="15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(118,333)</w:t>
            </w:r>
          </w:p>
        </w:tc>
      </w:tr>
      <w:tr>
        <w:trPr>
          <w:trHeight w:val="210"/>
        </w:trPr>
        <w:tc>
          <w:tcPr>
            <w:tcW w:w="7420" w:type="dxa"/>
            <w:vAlign w:val="bottom"/>
            <w:tcBorders>
              <w:top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(9,357</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(8,267</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74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liabilities and stockholders’ deficit</w:t>
            </w:r>
          </w:p>
        </w:tc>
        <w:tc>
          <w:tcPr>
            <w:tcW w:w="140" w:type="dxa"/>
            <w:vAlign w:val="bottom"/>
          </w:tcPr>
          <w:p>
            <w:pPr>
              <w:spacing w:after="0"/>
              <w:rPr>
                <w:sz w:val="19"/>
                <w:szCs w:val="19"/>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w:t>
            </w: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2,272</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7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ZAPATA QUANTUM,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4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300" w:type="dxa"/>
            <w:vAlign w:val="bottom"/>
            <w:gridSpan w:val="5"/>
          </w:tcPr>
          <w:p>
            <w:pPr>
              <w:jc w:val="right"/>
              <w:ind w:right="84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23"/>
        </w:trPr>
        <w:tc>
          <w:tcPr>
            <w:tcW w:w="64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w:t>
            </w:r>
          </w:p>
        </w:tc>
        <w:tc>
          <w:tcPr>
            <w:tcW w:w="114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6420" w:type="dxa"/>
            <w:vAlign w:val="bottom"/>
            <w:vMerge w:val="continue"/>
          </w:tcPr>
          <w:p>
            <w:pPr>
              <w:spacing w:after="0"/>
              <w:rPr>
                <w:sz w:val="16"/>
                <w:szCs w:val="16"/>
                <w:color w:val="auto"/>
              </w:rPr>
            </w:pPr>
          </w:p>
        </w:tc>
        <w:tc>
          <w:tcPr>
            <w:tcW w:w="1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5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420" w:type="dxa"/>
            <w:vAlign w:val="bottom"/>
            <w:tcBorders>
              <w:top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Gross profit</w:t>
            </w:r>
          </w:p>
        </w:tc>
        <w:tc>
          <w:tcPr>
            <w:tcW w:w="1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Sales and marketing</w:t>
            </w: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173</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235</w:t>
            </w:r>
          </w:p>
        </w:tc>
        <w:tc>
          <w:tcPr>
            <w:tcW w:w="380" w:type="dxa"/>
            <w:vAlign w:val="bottom"/>
          </w:tcPr>
          <w:p>
            <w:pPr>
              <w:spacing w:after="0"/>
              <w:rPr>
                <w:sz w:val="18"/>
                <w:szCs w:val="18"/>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6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789</w:t>
            </w: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680</w:t>
            </w:r>
          </w:p>
        </w:tc>
        <w:tc>
          <w:tcPr>
            <w:tcW w:w="0" w:type="dxa"/>
            <w:vAlign w:val="bottom"/>
          </w:tcPr>
          <w:p>
            <w:pPr>
              <w:spacing w:after="0"/>
              <w:rPr>
                <w:sz w:val="1"/>
                <w:szCs w:val="1"/>
                <w:color w:val="auto"/>
              </w:rPr>
            </w:pPr>
          </w:p>
        </w:tc>
      </w:tr>
      <w:tr>
        <w:trPr>
          <w:trHeight w:val="209"/>
        </w:trPr>
        <w:tc>
          <w:tcPr>
            <w:tcW w:w="642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4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22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14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(132)</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29"/>
        </w:trPr>
        <w:tc>
          <w:tcPr>
            <w:tcW w:w="64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w:t>
            </w:r>
          </w:p>
        </w:tc>
        <w:tc>
          <w:tcPr>
            <w:tcW w:w="380" w:type="dxa"/>
            <w:vAlign w:val="bottom"/>
          </w:tcPr>
          <w:p>
            <w:pPr>
              <w:spacing w:after="0"/>
              <w:rPr>
                <w:sz w:val="19"/>
                <w:szCs w:val="19"/>
                <w:color w:val="auto"/>
              </w:rPr>
            </w:pPr>
          </w:p>
        </w:tc>
        <w:tc>
          <w:tcPr>
            <w:tcW w:w="140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9"/>
        </w:trPr>
        <w:tc>
          <w:tcPr>
            <w:tcW w:w="6420" w:type="dxa"/>
            <w:vAlign w:val="bottom"/>
            <w:tcBorders>
              <w:top w:val="single" w:sz="8" w:color="CCEEFF"/>
            </w:tcBorders>
            <w:shd w:val="clear" w:color="auto" w:fill="CCEEFF"/>
          </w:tcPr>
          <w:p>
            <w:pPr>
              <w:ind w:left="740"/>
              <w:spacing w:after="0"/>
              <w:rPr>
                <w:sz w:val="20"/>
                <w:szCs w:val="20"/>
                <w:color w:val="auto"/>
              </w:rPr>
            </w:pPr>
            <w:r>
              <w:rPr>
                <w:rFonts w:ascii="Times New Roman" w:cs="Times New Roman" w:eastAsia="Times New Roman" w:hAnsi="Times New Roman"/>
                <w:sz w:val="18"/>
                <w:szCs w:val="18"/>
                <w:color w:val="auto"/>
              </w:rPr>
              <w:t>Total other expense, net</w:t>
            </w:r>
          </w:p>
        </w:tc>
        <w:tc>
          <w:tcPr>
            <w:tcW w:w="11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63"/>
        </w:trPr>
        <w:tc>
          <w:tcPr>
            <w:tcW w:w="64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w:t>
            </w:r>
          </w:p>
        </w:tc>
        <w:tc>
          <w:tcPr>
            <w:tcW w:w="114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64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basic and diluted</w:t>
            </w:r>
          </w:p>
        </w:tc>
        <w:tc>
          <w:tcPr>
            <w:tcW w:w="1520" w:type="dxa"/>
            <w:vAlign w:val="bottom"/>
            <w:gridSpan w:val="2"/>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(0.01)</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197"/>
        </w:trPr>
        <w:tc>
          <w:tcPr>
            <w:tcW w:w="6420" w:type="dxa"/>
            <w:vAlign w:val="bottom"/>
            <w:tcBorders>
              <w:top w:val="single" w:sz="8" w:color="CCEEFF"/>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114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13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172,318,506</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spacing w:after="0"/>
              <w:rPr>
                <w:sz w:val="17"/>
                <w:szCs w:val="17"/>
                <w:color w:val="auto"/>
              </w:rPr>
            </w:pPr>
          </w:p>
        </w:tc>
        <w:tc>
          <w:tcPr>
            <w:tcW w:w="13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42,482,376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4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520" w:type="dxa"/>
            <w:vAlign w:val="bottom"/>
            <w:gridSpan w:val="2"/>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(1,310)</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0" w:type="dxa"/>
            <w:vAlign w:val="bottom"/>
          </w:tcPr>
          <w:p>
            <w:pPr>
              <w:spacing w:after="0"/>
              <w:rPr>
                <w:sz w:val="1"/>
                <w:szCs w:val="1"/>
                <w:color w:val="auto"/>
              </w:rPr>
            </w:pPr>
          </w:p>
        </w:tc>
      </w:tr>
      <w:tr>
        <w:trPr>
          <w:trHeight w:val="230"/>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(18)</w:t>
            </w:r>
          </w:p>
        </w:tc>
        <w:tc>
          <w:tcPr>
            <w:tcW w:w="38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3"/>
        </w:trPr>
        <w:tc>
          <w:tcPr>
            <w:tcW w:w="6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64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ZAPATA QUANTUM,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CONVERTIBLE PREFERRED STOCK AND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2026 and 2025</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20" w:type="dxa"/>
            <w:vAlign w:val="bottom"/>
            <w:gridSpan w:val="4"/>
            <w:vMerge w:val="restart"/>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5"/>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5"/>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12"/>
                <w:szCs w:val="12"/>
                <w:color w:val="auto"/>
              </w:rPr>
            </w:pPr>
          </w:p>
        </w:tc>
        <w:tc>
          <w:tcPr>
            <w:tcW w:w="112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980" w:type="dxa"/>
            <w:vAlign w:val="bottom"/>
          </w:tcPr>
          <w:p>
            <w:pPr>
              <w:spacing w:after="0"/>
              <w:rPr>
                <w:sz w:val="12"/>
                <w:szCs w:val="12"/>
                <w:color w:val="auto"/>
              </w:rPr>
            </w:pPr>
          </w:p>
        </w:tc>
        <w:tc>
          <w:tcPr>
            <w:tcW w:w="1480" w:type="dxa"/>
            <w:vAlign w:val="bottom"/>
            <w:gridSpan w:val="9"/>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Stock ($0.0001 par</w:t>
            </w:r>
          </w:p>
        </w:tc>
        <w:tc>
          <w:tcPr>
            <w:tcW w:w="160" w:type="dxa"/>
            <w:vAlign w:val="bottom"/>
          </w:tcPr>
          <w:p>
            <w:pPr>
              <w:spacing w:after="0"/>
              <w:rPr>
                <w:sz w:val="12"/>
                <w:szCs w:val="12"/>
                <w:color w:val="auto"/>
              </w:rPr>
            </w:pPr>
          </w:p>
        </w:tc>
        <w:tc>
          <w:tcPr>
            <w:tcW w:w="124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5"/>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3"/>
          </w:tcPr>
          <w:p>
            <w:pPr>
              <w:jc w:val="center"/>
              <w:ind w:right="359"/>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40" w:type="dxa"/>
            <w:vAlign w:val="bottom"/>
            <w:gridSpan w:val="5"/>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9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value)</w:t>
            </w:r>
          </w:p>
        </w:tc>
        <w:tc>
          <w:tcPr>
            <w:tcW w:w="16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($0.0001 par value)</w:t>
            </w:r>
          </w:p>
        </w:tc>
        <w:tc>
          <w:tcPr>
            <w:tcW w:w="1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160" w:type="dxa"/>
            <w:vAlign w:val="bottom"/>
            <w:gridSpan w:val="5"/>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40" w:type="dxa"/>
            <w:vAlign w:val="bottom"/>
            <w:gridSpan w:val="5"/>
            <w:vMerge w:val="continue"/>
          </w:tcPr>
          <w:p>
            <w:pPr>
              <w:spacing w:after="0"/>
              <w:rPr>
                <w:sz w:val="15"/>
                <w:szCs w:val="15"/>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23"/>
        </w:trPr>
        <w:tc>
          <w:tcPr>
            <w:tcW w:w="3980" w:type="dxa"/>
            <w:vAlign w:val="bottom"/>
          </w:tcPr>
          <w:p>
            <w:pPr>
              <w:spacing w:after="0"/>
              <w:rPr>
                <w:sz w:val="19"/>
                <w:szCs w:val="19"/>
                <w:color w:val="auto"/>
              </w:rPr>
            </w:pPr>
          </w:p>
        </w:tc>
        <w:tc>
          <w:tcPr>
            <w:tcW w:w="74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9"/>
                <w:szCs w:val="19"/>
                <w:color w:val="auto"/>
              </w:rPr>
            </w:pPr>
          </w:p>
        </w:tc>
        <w:tc>
          <w:tcPr>
            <w:tcW w:w="86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9"/>
                <w:szCs w:val="19"/>
                <w:color w:val="auto"/>
              </w:rPr>
            </w:pPr>
          </w:p>
        </w:tc>
        <w:tc>
          <w:tcPr>
            <w:tcW w:w="800" w:type="dxa"/>
            <w:vAlign w:val="bottom"/>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3"/>
          </w:tcPr>
          <w:p>
            <w:pPr>
              <w:jc w:val="center"/>
              <w:ind w:right="359"/>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3"/>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9"/>
                <w:szCs w:val="19"/>
                <w:color w:val="auto"/>
              </w:rPr>
            </w:pPr>
          </w:p>
        </w:tc>
        <w:tc>
          <w:tcPr>
            <w:tcW w:w="80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42"/>
        </w:trPr>
        <w:tc>
          <w:tcPr>
            <w:tcW w:w="39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Balances at December 31, 2025</w:t>
            </w:r>
          </w:p>
        </w:tc>
        <w:tc>
          <w:tcPr>
            <w:tcW w:w="5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26,983</w:t>
            </w:r>
          </w:p>
        </w:tc>
        <w:tc>
          <w:tcPr>
            <w:tcW w:w="1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2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172,318,506</w:t>
            </w:r>
          </w:p>
        </w:tc>
        <w:tc>
          <w:tcPr>
            <w:tcW w:w="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w w:val="85"/>
              </w:rPr>
              <w:t>17</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110,211</w:t>
            </w: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gridSpan w:val="2"/>
            <w:shd w:val="clear" w:color="auto" w:fill="CCEEFF"/>
          </w:tcPr>
          <w:p>
            <w:pPr>
              <w:jc w:val="right"/>
              <w:ind w:right="54"/>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(162)</w:t>
            </w:r>
          </w:p>
        </w:tc>
        <w:tc>
          <w:tcPr>
            <w:tcW w:w="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(118,333)</w:t>
            </w:r>
          </w:p>
        </w:tc>
        <w:tc>
          <w:tcPr>
            <w:tcW w:w="2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(8,267)</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80" w:type="dxa"/>
            <w:vAlign w:val="bottom"/>
          </w:tcPr>
          <w:p>
            <w:pPr>
              <w:spacing w:after="0"/>
              <w:rPr>
                <w:sz w:val="12"/>
                <w:szCs w:val="12"/>
                <w:color w:val="auto"/>
              </w:rPr>
            </w:pPr>
          </w:p>
        </w:tc>
        <w:tc>
          <w:tcPr>
            <w:tcW w:w="56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60" w:type="dxa"/>
            <w:vAlign w:val="bottom"/>
            <w:gridSpan w:val="3"/>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gridSpan w:val="3"/>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238</w:t>
            </w: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3"/>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tcPr>
          <w:p>
            <w:pPr>
              <w:jc w:val="right"/>
              <w:ind w:right="1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238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80" w:type="dxa"/>
            <w:vAlign w:val="bottom"/>
            <w:shd w:val="clear" w:color="auto" w:fill="CCEEFF"/>
          </w:tcPr>
          <w:p>
            <w:pPr>
              <w:spacing w:after="0"/>
              <w:rPr>
                <w:sz w:val="12"/>
                <w:szCs w:val="12"/>
                <w:color w:val="auto"/>
              </w:rPr>
            </w:pPr>
          </w:p>
        </w:tc>
        <w:tc>
          <w:tcPr>
            <w:tcW w:w="56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6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(1,310)</w:t>
            </w:r>
          </w:p>
        </w:tc>
        <w:tc>
          <w:tcPr>
            <w:tcW w:w="140" w:type="dxa"/>
            <w:vAlign w:val="bottom"/>
            <w:shd w:val="clear" w:color="auto" w:fill="CCEEFF"/>
          </w:tcPr>
          <w:p>
            <w:pPr>
              <w:spacing w:after="0"/>
              <w:rPr>
                <w:sz w:val="12"/>
                <w:szCs w:val="12"/>
                <w:color w:val="auto"/>
              </w:rPr>
            </w:pPr>
          </w:p>
        </w:tc>
        <w:tc>
          <w:tcPr>
            <w:tcW w:w="800" w:type="dxa"/>
            <w:vAlign w:val="bottom"/>
            <w:gridSpan w:val="3"/>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(1,310)</w:t>
            </w:r>
          </w:p>
        </w:tc>
        <w:tc>
          <w:tcPr>
            <w:tcW w:w="0" w:type="dxa"/>
            <w:vAlign w:val="bottom"/>
          </w:tcPr>
          <w:p>
            <w:pPr>
              <w:spacing w:after="0"/>
              <w:rPr>
                <w:sz w:val="1"/>
                <w:szCs w:val="1"/>
                <w:color w:val="auto"/>
              </w:rPr>
            </w:pPr>
          </w:p>
        </w:tc>
      </w:tr>
      <w:tr>
        <w:trPr>
          <w:trHeight w:val="162"/>
        </w:trPr>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Cumulative translation adjustment</w:t>
            </w:r>
          </w:p>
        </w:tc>
        <w:tc>
          <w:tcPr>
            <w:tcW w:w="180" w:type="dxa"/>
            <w:vAlign w:val="bottom"/>
          </w:tcPr>
          <w:p>
            <w:pPr>
              <w:spacing w:after="0"/>
              <w:rPr>
                <w:sz w:val="14"/>
                <w:szCs w:val="14"/>
                <w:color w:val="auto"/>
              </w:rPr>
            </w:pPr>
          </w:p>
        </w:tc>
        <w:tc>
          <w:tcPr>
            <w:tcW w:w="5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86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80" w:type="dxa"/>
            <w:vAlign w:val="bottom"/>
            <w:gridSpan w:val="3"/>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3"/>
          </w:tcPr>
          <w:p>
            <w:pPr>
              <w:jc w:val="right"/>
              <w:ind w:right="119"/>
              <w:spacing w:after="0"/>
              <w:rPr>
                <w:sz w:val="20"/>
                <w:szCs w:val="20"/>
                <w:color w:val="auto"/>
              </w:rPr>
            </w:pPr>
            <w:r>
              <w:rPr>
                <w:rFonts w:ascii="Times New Roman" w:cs="Times New Roman" w:eastAsia="Times New Roman" w:hAnsi="Times New Roman"/>
                <w:sz w:val="14"/>
                <w:szCs w:val="14"/>
                <w:color w:val="auto"/>
              </w:rPr>
              <w:t>(18)</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3"/>
          </w:tcPr>
          <w:p>
            <w:pPr>
              <w:jc w:val="right"/>
              <w:ind w:right="17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800" w:type="dxa"/>
            <w:vAlign w:val="bottom"/>
            <w:gridSpan w:val="3"/>
          </w:tcPr>
          <w:p>
            <w:pPr>
              <w:jc w:val="right"/>
              <w:ind w:right="60"/>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r>
        <w:trPr>
          <w:trHeight w:val="155"/>
        </w:trPr>
        <w:tc>
          <w:tcPr>
            <w:tcW w:w="398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Balances at March 31, 2026</w:t>
            </w:r>
          </w:p>
        </w:tc>
        <w:tc>
          <w:tcPr>
            <w:tcW w:w="540" w:type="dxa"/>
            <w:vAlign w:val="bottom"/>
            <w:tcBorders>
              <w:top w:val="single" w:sz="8" w:color="auto"/>
              <w:bottom w:val="single" w:sz="8" w:color="auto"/>
            </w:tcBorders>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26,983</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38"/>
              <w:spacing w:after="0"/>
              <w:rPr>
                <w:sz w:val="20"/>
                <w:szCs w:val="20"/>
                <w:color w:val="auto"/>
              </w:rPr>
            </w:pPr>
            <w:r>
              <w:rPr>
                <w:rFonts w:ascii="Times New Roman" w:cs="Times New Roman" w:eastAsia="Times New Roman" w:hAnsi="Times New Roman"/>
                <w:sz w:val="11"/>
                <w:szCs w:val="11"/>
                <w:color w:val="auto"/>
                <w:w w:val="71"/>
              </w:rPr>
              <w:t>$</w:t>
            </w:r>
          </w:p>
        </w:tc>
        <w:tc>
          <w:tcPr>
            <w:tcW w:w="220" w:type="dxa"/>
            <w:vAlign w:val="bottom"/>
            <w:tcBorders>
              <w:top w:val="single" w:sz="8" w:color="auto"/>
              <w:bottom w:val="single" w:sz="8" w:color="auto"/>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820" w:type="dxa"/>
            <w:vAlign w:val="bottom"/>
            <w:tcBorders>
              <w:top w:val="single" w:sz="8" w:color="auto"/>
              <w:bottom w:val="single" w:sz="8" w:color="auto"/>
            </w:tcBorders>
            <w:gridSpan w:val="2"/>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172,318,506</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300" w:type="dxa"/>
            <w:vAlign w:val="bottom"/>
            <w:tcBorders>
              <w:top w:val="single" w:sz="8" w:color="auto"/>
              <w:bottom w:val="single" w:sz="8" w:color="auto"/>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ind w:left="20"/>
              <w:spacing w:after="0" w:line="155" w:lineRule="exact"/>
              <w:rPr>
                <w:sz w:val="20"/>
                <w:szCs w:val="20"/>
                <w:color w:val="auto"/>
              </w:rPr>
            </w:pPr>
            <w:r>
              <w:rPr>
                <w:rFonts w:ascii="Times New Roman" w:cs="Times New Roman" w:eastAsia="Times New Roman" w:hAnsi="Times New Roman"/>
                <w:sz w:val="14"/>
                <w:szCs w:val="14"/>
                <w:color w:val="auto"/>
                <w:w w:val="85"/>
              </w:rPr>
              <w:t>17</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110,449</w:t>
            </w:r>
          </w:p>
        </w:tc>
        <w:tc>
          <w:tcPr>
            <w:tcW w:w="4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gridSpan w:val="2"/>
            <w:shd w:val="clear" w:color="auto" w:fill="CCEEFF"/>
          </w:tcPr>
          <w:p>
            <w:pPr>
              <w:jc w:val="right"/>
              <w:ind w:right="54"/>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(180</w:t>
            </w:r>
          </w:p>
        </w:tc>
        <w:tc>
          <w:tcPr>
            <w:tcW w:w="200" w:type="dxa"/>
            <w:vAlign w:val="bottom"/>
            <w:tcBorders>
              <w:top w:val="single" w:sz="8" w:color="CCEEFF"/>
              <w:bottom w:val="single" w:sz="8" w:color="CCEEFF"/>
            </w:tcBorders>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8"/>
                <w:szCs w:val="8"/>
                <w:color w:val="auto"/>
                <w:w w:val="73"/>
              </w:rPr>
              <w:t>)</w:t>
            </w:r>
          </w:p>
        </w:tc>
        <w:tc>
          <w:tcPr>
            <w:tcW w:w="160" w:type="dxa"/>
            <w:vAlign w:val="bottom"/>
            <w:tcBorders>
              <w:top w:val="single" w:sz="8" w:color="auto"/>
              <w:bottom w:val="single" w:sz="8" w:color="auto"/>
            </w:tcBorders>
            <w:gridSpan w:val="2"/>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(119,643</w:t>
            </w:r>
          </w:p>
        </w:tc>
        <w:tc>
          <w:tcPr>
            <w:tcW w:w="220" w:type="dxa"/>
            <w:vAlign w:val="bottom"/>
            <w:tcBorders>
              <w:top w:val="single" w:sz="8" w:color="CCEEFF"/>
              <w:bottom w:val="single" w:sz="8" w:color="CCEEFF"/>
            </w:tcBorders>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(9,357</w:t>
            </w:r>
          </w:p>
        </w:tc>
        <w:tc>
          <w:tcPr>
            <w:tcW w:w="100" w:type="dxa"/>
            <w:vAlign w:val="bottom"/>
            <w:tcBorders>
              <w:top w:val="single" w:sz="8" w:color="CCEEFF"/>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7"/>
        </w:trPr>
        <w:tc>
          <w:tcPr>
            <w:tcW w:w="3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8"/>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Convertible</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gridSpan w:val="4"/>
            <w:vMerge w:val="restart"/>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3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5"/>
          </w:tcPr>
          <w:p>
            <w:pPr>
              <w:jc w:val="center"/>
              <w:ind w:left="268"/>
              <w:spacing w:after="0" w:line="146" w:lineRule="exact"/>
              <w:rPr>
                <w:sz w:val="20"/>
                <w:szCs w:val="20"/>
                <w:color w:val="auto"/>
              </w:rPr>
            </w:pPr>
            <w:r>
              <w:rPr>
                <w:rFonts w:ascii="Times New Roman" w:cs="Times New Roman" w:eastAsia="Times New Roman" w:hAnsi="Times New Roman"/>
                <w:sz w:val="14"/>
                <w:szCs w:val="14"/>
                <w:b w:val="1"/>
                <w:bCs w:val="1"/>
                <w:color w:val="auto"/>
              </w:rPr>
              <w:t>Preferred</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gridSpan w:val="5"/>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40" w:type="dxa"/>
            <w:vAlign w:val="bottom"/>
          </w:tcPr>
          <w:p>
            <w:pPr>
              <w:spacing w:after="0"/>
              <w:rPr>
                <w:sz w:val="12"/>
                <w:szCs w:val="12"/>
                <w:color w:val="auto"/>
              </w:rPr>
            </w:pPr>
          </w:p>
        </w:tc>
        <w:tc>
          <w:tcPr>
            <w:tcW w:w="112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8"/>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Stock ($0.0001 par</w:t>
            </w:r>
          </w:p>
        </w:tc>
        <w:tc>
          <w:tcPr>
            <w:tcW w:w="160" w:type="dxa"/>
            <w:vAlign w:val="bottom"/>
          </w:tcPr>
          <w:p>
            <w:pPr>
              <w:spacing w:after="0"/>
              <w:rPr>
                <w:sz w:val="12"/>
                <w:szCs w:val="12"/>
                <w:color w:val="auto"/>
              </w:rPr>
            </w:pPr>
          </w:p>
        </w:tc>
        <w:tc>
          <w:tcPr>
            <w:tcW w:w="1240" w:type="dxa"/>
            <w:vAlign w:val="bottom"/>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3"/>
          </w:tcPr>
          <w:p>
            <w:pPr>
              <w:jc w:val="center"/>
              <w:ind w:right="299"/>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04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80" w:type="dxa"/>
            <w:vAlign w:val="bottom"/>
            <w:tcBorders>
              <w:bottom w:val="single" w:sz="8" w:color="auto"/>
            </w:tcBorders>
            <w:gridSpan w:val="7"/>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($0.0001 par value)</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40" w:type="dxa"/>
            <w:vAlign w:val="bottom"/>
          </w:tcPr>
          <w:p>
            <w:pPr>
              <w:spacing w:after="0"/>
              <w:rPr>
                <w:sz w:val="15"/>
                <w:szCs w:val="15"/>
                <w:color w:val="auto"/>
              </w:rPr>
            </w:pPr>
          </w:p>
        </w:tc>
        <w:tc>
          <w:tcPr>
            <w:tcW w:w="1120" w:type="dxa"/>
            <w:vAlign w:val="bottom"/>
            <w:gridSpan w:val="4"/>
          </w:tcPr>
          <w:p>
            <w:pPr>
              <w:jc w:val="center"/>
              <w:ind w:right="119"/>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040" w:type="dxa"/>
            <w:vAlign w:val="bottom"/>
            <w:gridSpan w:val="5"/>
            <w:vMerge w:val="continue"/>
          </w:tcPr>
          <w:p>
            <w:pPr>
              <w:spacing w:after="0"/>
              <w:rPr>
                <w:sz w:val="15"/>
                <w:szCs w:val="15"/>
                <w:color w:val="auto"/>
              </w:rPr>
            </w:pPr>
          </w:p>
        </w:tc>
        <w:tc>
          <w:tcPr>
            <w:tcW w:w="9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223"/>
        </w:trPr>
        <w:tc>
          <w:tcPr>
            <w:tcW w:w="3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9"/>
                <w:szCs w:val="19"/>
                <w:color w:val="auto"/>
              </w:rPr>
            </w:pPr>
          </w:p>
        </w:tc>
        <w:tc>
          <w:tcPr>
            <w:tcW w:w="5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9"/>
                <w:szCs w:val="19"/>
                <w:color w:val="auto"/>
              </w:rPr>
            </w:pPr>
          </w:p>
        </w:tc>
        <w:tc>
          <w:tcPr>
            <w:tcW w:w="860" w:type="dxa"/>
            <w:vAlign w:val="bottom"/>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9"/>
                <w:szCs w:val="19"/>
                <w:color w:val="auto"/>
              </w:rPr>
            </w:pPr>
          </w:p>
        </w:tc>
        <w:tc>
          <w:tcPr>
            <w:tcW w:w="6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gridSpan w:val="3"/>
          </w:tcPr>
          <w:p>
            <w:pPr>
              <w:jc w:val="center"/>
              <w:ind w:right="319"/>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3"/>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9"/>
                <w:szCs w:val="19"/>
                <w:color w:val="auto"/>
              </w:rPr>
            </w:pPr>
          </w:p>
        </w:tc>
        <w:tc>
          <w:tcPr>
            <w:tcW w:w="80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42"/>
        </w:trPr>
        <w:tc>
          <w:tcPr>
            <w:tcW w:w="39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Balances at December 31, 2024</w:t>
            </w:r>
          </w:p>
        </w:tc>
        <w:tc>
          <w:tcPr>
            <w:tcW w:w="18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ind w:left="4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7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43,589,506</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w:t>
            </w:r>
          </w:p>
        </w:tc>
        <w:tc>
          <w:tcPr>
            <w:tcW w:w="14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104,301</w:t>
            </w:r>
          </w:p>
        </w:tc>
        <w:tc>
          <w:tcPr>
            <w:tcW w:w="16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(109)</w:t>
            </w:r>
          </w:p>
        </w:tc>
        <w:tc>
          <w:tcPr>
            <w:tcW w:w="1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(127,669)</w:t>
            </w: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(23,473)</w:t>
            </w:r>
          </w:p>
        </w:tc>
        <w:tc>
          <w:tcPr>
            <w:tcW w:w="100" w:type="dxa"/>
            <w:vAlign w:val="bottom"/>
            <w:tcBorders>
              <w:top w:val="single" w:sz="8" w:color="CCEEFF"/>
            </w:tcBorders>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Vesting of restricted stock units</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20" w:type="dxa"/>
            <w:vAlign w:val="bottom"/>
            <w:gridSpan w:val="4"/>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25,000</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3"/>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 expense</w:t>
            </w:r>
          </w:p>
        </w:tc>
        <w:tc>
          <w:tcPr>
            <w:tcW w:w="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gridSpan w:val="2"/>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380" w:type="dxa"/>
            <w:vAlign w:val="bottom"/>
            <w:gridSpan w:val="3"/>
            <w:shd w:val="clear" w:color="auto" w:fill="CCEEFF"/>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3"/>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gridSpan w:val="3"/>
            <w:shd w:val="clear" w:color="auto" w:fill="CCEEFF"/>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3"/>
            <w:shd w:val="clear" w:color="auto" w:fill="CCEEFF"/>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tcPr>
          <w:p>
            <w:pPr>
              <w:spacing w:after="0"/>
              <w:rPr>
                <w:sz w:val="12"/>
                <w:szCs w:val="12"/>
                <w:color w:val="auto"/>
              </w:rPr>
            </w:pPr>
          </w:p>
        </w:tc>
        <w:tc>
          <w:tcPr>
            <w:tcW w:w="860" w:type="dxa"/>
            <w:vAlign w:val="bottom"/>
            <w:gridSpan w:val="3"/>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gridSpan w:val="3"/>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3"/>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3"/>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3"/>
          </w:tcPr>
          <w:p>
            <w:pPr>
              <w:jc w:val="right"/>
              <w:ind w:right="119"/>
              <w:spacing w:after="0" w:line="149" w:lineRule="exact"/>
              <w:rPr>
                <w:sz w:val="20"/>
                <w:szCs w:val="20"/>
                <w:color w:val="auto"/>
              </w:rPr>
            </w:pPr>
            <w:r>
              <w:rPr>
                <w:rFonts w:ascii="Times New Roman" w:cs="Times New Roman" w:eastAsia="Times New Roman" w:hAnsi="Times New Roman"/>
                <w:sz w:val="14"/>
                <w:szCs w:val="14"/>
                <w:color w:val="auto"/>
              </w:rPr>
              <w:t>(770)</w:t>
            </w:r>
          </w:p>
        </w:tc>
        <w:tc>
          <w:tcPr>
            <w:tcW w:w="140" w:type="dxa"/>
            <w:vAlign w:val="bottom"/>
          </w:tcPr>
          <w:p>
            <w:pPr>
              <w:spacing w:after="0"/>
              <w:rPr>
                <w:sz w:val="12"/>
                <w:szCs w:val="12"/>
                <w:color w:val="auto"/>
              </w:rPr>
            </w:pPr>
          </w:p>
        </w:tc>
        <w:tc>
          <w:tcPr>
            <w:tcW w:w="80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(770)</w:t>
            </w:r>
          </w:p>
        </w:tc>
        <w:tc>
          <w:tcPr>
            <w:tcW w:w="0" w:type="dxa"/>
            <w:vAlign w:val="bottom"/>
          </w:tcPr>
          <w:p>
            <w:pPr>
              <w:spacing w:after="0"/>
              <w:rPr>
                <w:sz w:val="1"/>
                <w:szCs w:val="1"/>
                <w:color w:val="auto"/>
              </w:rPr>
            </w:pPr>
          </w:p>
        </w:tc>
      </w:tr>
      <w:tr>
        <w:trPr>
          <w:trHeight w:val="162"/>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Cumulative translation adjustment</w:t>
            </w:r>
          </w:p>
        </w:tc>
        <w:tc>
          <w:tcPr>
            <w:tcW w:w="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0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99"/>
              </w:rPr>
              <w:t>—</w:t>
            </w:r>
          </w:p>
        </w:tc>
        <w:tc>
          <w:tcPr>
            <w:tcW w:w="160" w:type="dxa"/>
            <w:vAlign w:val="bottom"/>
            <w:shd w:val="clear" w:color="auto" w:fill="CCEEFF"/>
          </w:tcPr>
          <w:p>
            <w:pPr>
              <w:spacing w:after="0"/>
              <w:rPr>
                <w:sz w:val="14"/>
                <w:szCs w:val="14"/>
                <w:color w:val="auto"/>
              </w:rPr>
            </w:pP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3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3"/>
            <w:shd w:val="clear" w:color="auto" w:fill="CCEEFF"/>
          </w:tcPr>
          <w:p>
            <w:pPr>
              <w:jc w:val="right"/>
              <w:ind w:right="99"/>
              <w:spacing w:after="0"/>
              <w:rPr>
                <w:sz w:val="20"/>
                <w:szCs w:val="20"/>
                <w:color w:val="auto"/>
              </w:rPr>
            </w:pPr>
            <w:r>
              <w:rPr>
                <w:rFonts w:ascii="Times New Roman" w:cs="Times New Roman" w:eastAsia="Times New Roman" w:hAnsi="Times New Roman"/>
                <w:sz w:val="14"/>
                <w:szCs w:val="14"/>
                <w:color w:val="auto"/>
              </w:rPr>
              <w:t>(14)</w:t>
            </w: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3"/>
            <w:shd w:val="clear" w:color="auto" w:fill="CCEEFF"/>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56"/>
        </w:trPr>
        <w:tc>
          <w:tcPr>
            <w:tcW w:w="3980" w:type="dxa"/>
            <w:vAlign w:val="bottom"/>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Balances at March 31, 2025</w:t>
            </w:r>
          </w:p>
        </w:tc>
        <w:tc>
          <w:tcPr>
            <w:tcW w:w="18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jc w:val="center"/>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Borders>
              <w:top w:val="single" w:sz="8" w:color="auto"/>
            </w:tcBorders>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ind w:left="40"/>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Borders>
              <w:top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43,614,506</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top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4</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104,345</w:t>
            </w: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top w:val="single" w:sz="8" w:color="auto"/>
            </w:tcBorders>
          </w:tcPr>
          <w:p>
            <w:pPr>
              <w:jc w:val="right"/>
              <w:ind w:right="34"/>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top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(123</w:t>
            </w:r>
          </w:p>
        </w:tc>
        <w:tc>
          <w:tcPr>
            <w:tcW w:w="180" w:type="dxa"/>
            <w:vAlign w:val="bottom"/>
          </w:tcPr>
          <w:p>
            <w:pPr>
              <w:jc w:val="right"/>
              <w:ind w:right="99"/>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Pr>
          <w:p>
            <w:pPr>
              <w:spacing w:after="0"/>
              <w:rPr>
                <w:sz w:val="13"/>
                <w:szCs w:val="13"/>
                <w:color w:val="auto"/>
              </w:rPr>
            </w:pPr>
          </w:p>
        </w:tc>
        <w:tc>
          <w:tcPr>
            <w:tcW w:w="140" w:type="dxa"/>
            <w:vAlign w:val="bottom"/>
            <w:tcBorders>
              <w:top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gridSpan w:val="2"/>
          </w:tcPr>
          <w:p>
            <w:pPr>
              <w:jc w:val="right"/>
              <w:spacing w:after="0" w:line="155" w:lineRule="exact"/>
              <w:rPr>
                <w:sz w:val="20"/>
                <w:szCs w:val="20"/>
                <w:color w:val="auto"/>
              </w:rPr>
            </w:pPr>
            <w:r>
              <w:rPr>
                <w:rFonts w:ascii="Times New Roman" w:cs="Times New Roman" w:eastAsia="Times New Roman" w:hAnsi="Times New Roman"/>
                <w:sz w:val="14"/>
                <w:szCs w:val="14"/>
                <w:color w:val="auto"/>
              </w:rPr>
              <w:t>(128,439</w:t>
            </w:r>
          </w:p>
        </w:tc>
        <w:tc>
          <w:tcPr>
            <w:tcW w:w="200" w:type="dxa"/>
            <w:vAlign w:val="bottom"/>
          </w:tcPr>
          <w:p>
            <w:pPr>
              <w:jc w:val="right"/>
              <w:ind w:right="119"/>
              <w:spacing w:after="0"/>
              <w:rPr>
                <w:sz w:val="20"/>
                <w:szCs w:val="20"/>
                <w:color w:val="auto"/>
              </w:rPr>
            </w:pPr>
            <w:r>
              <w:rPr>
                <w:rFonts w:ascii="Times New Roman" w:cs="Times New Roman" w:eastAsia="Times New Roman" w:hAnsi="Times New Roman"/>
                <w:sz w:val="8"/>
                <w:szCs w:val="8"/>
                <w:color w:val="auto"/>
                <w:w w:val="73"/>
              </w:rPr>
              <w:t>)</w:t>
            </w:r>
          </w:p>
        </w:tc>
        <w:tc>
          <w:tcPr>
            <w:tcW w:w="140" w:type="dxa"/>
            <w:vAlign w:val="bottom"/>
            <w:tcBorders>
              <w:top w:val="single" w:sz="8" w:color="auto"/>
            </w:tcBorders>
          </w:tcPr>
          <w:p>
            <w:pPr>
              <w:spacing w:after="0" w:line="155"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(24,213</w:t>
            </w:r>
          </w:p>
        </w:tc>
        <w:tc>
          <w:tcPr>
            <w:tcW w:w="100" w:type="dxa"/>
            <w:vAlign w:val="bottom"/>
            <w:gridSpan w:val="2"/>
          </w:tcPr>
          <w:p>
            <w:pPr>
              <w:jc w:val="right"/>
              <w:ind w:right="60"/>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ZAPATA QUANTUM,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27" w:lineRule="exact"/>
        <w:rPr>
          <w:sz w:val="20"/>
          <w:szCs w:val="20"/>
          <w:color w:val="auto"/>
        </w:rPr>
      </w:pPr>
    </w:p>
    <w:p>
      <w:pPr>
        <w:jc w:val="center"/>
        <w:ind w:left="74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p>
      <w:pPr>
        <w:spacing w:after="0" w:line="6" w:lineRule="exact"/>
        <w:rPr>
          <w:sz w:val="20"/>
          <w:szCs w:val="20"/>
          <w:color w:val="auto"/>
        </w:rPr>
      </w:pPr>
    </w:p>
    <w:p>
      <w:pPr>
        <w:jc w:val="center"/>
        <w:ind w:left="74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-3175</wp:posOffset>
            </wp:positionV>
            <wp:extent cx="22713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271395" cy="8890"/>
                    </a:xfrm>
                    <a:prstGeom prst="rect">
                      <a:avLst/>
                    </a:prstGeom>
                    <a:noFill/>
                  </pic:spPr>
                </pic:pic>
              </a:graphicData>
            </a:graphic>
          </wp:anchor>
        </w:drawing>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20" w:type="dxa"/>
            <w:vAlign w:val="bottom"/>
          </w:tcPr>
          <w:p>
            <w:pPr>
              <w:spacing w:after="0"/>
              <w:rPr>
                <w:sz w:val="15"/>
                <w:szCs w:val="15"/>
                <w:color w:val="auto"/>
              </w:rPr>
            </w:pPr>
          </w:p>
        </w:tc>
        <w:tc>
          <w:tcPr>
            <w:tcW w:w="1840" w:type="dxa"/>
            <w:vAlign w:val="bottom"/>
            <w:gridSpan w:val="2"/>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37"/>
        </w:trPr>
        <w:tc>
          <w:tcPr>
            <w:tcW w:w="68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740" w:type="dxa"/>
            <w:vAlign w:val="bottom"/>
            <w:tcBorders>
              <w:top w:val="single" w:sz="8" w:color="CCEEFF"/>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380" w:type="dxa"/>
            <w:vAlign w:val="bottom"/>
            <w:tcBorders>
              <w:top w:val="single" w:sz="8" w:color="auto"/>
            </w:tcBorders>
            <w:shd w:val="clear" w:color="auto" w:fill="CCEEFF"/>
          </w:tcPr>
          <w:p>
            <w:pPr>
              <w:spacing w:after="0"/>
              <w:rPr>
                <w:sz w:val="20"/>
                <w:szCs w:val="20"/>
                <w:color w:val="auto"/>
              </w:rPr>
            </w:pPr>
          </w:p>
        </w:tc>
        <w:tc>
          <w:tcPr>
            <w:tcW w:w="1300" w:type="dxa"/>
            <w:vAlign w:val="bottom"/>
            <w:tcBorders>
              <w:top w:val="single" w:sz="8" w:color="auto"/>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r>
      <w:tr>
        <w:trPr>
          <w:trHeight w:val="216"/>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840" w:type="dxa"/>
            <w:vAlign w:val="bottom"/>
            <w:gridSpan w:val="2"/>
          </w:tcPr>
          <w:p>
            <w:pPr>
              <w:jc w:val="right"/>
              <w:ind w:right="93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(1,310)</w:t>
            </w:r>
          </w:p>
        </w:tc>
        <w:tc>
          <w:tcPr>
            <w:tcW w:w="380" w:type="dxa"/>
            <w:vAlign w:val="bottom"/>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(770)</w:t>
            </w:r>
          </w:p>
        </w:tc>
      </w:tr>
      <w:tr>
        <w:trPr>
          <w:trHeight w:val="243"/>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7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16"/>
        </w:trPr>
        <w:tc>
          <w:tcPr>
            <w:tcW w:w="6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Non-cash interest expense</w:t>
            </w:r>
          </w:p>
        </w:tc>
        <w:tc>
          <w:tcPr>
            <w:tcW w:w="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132</w:t>
            </w:r>
          </w:p>
        </w:tc>
        <w:tc>
          <w:tcPr>
            <w:tcW w:w="3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80" w:type="dxa"/>
            <w:vAlign w:val="bottom"/>
          </w:tcPr>
          <w:p>
            <w:pPr>
              <w:spacing w:after="0"/>
              <w:rPr>
                <w:sz w:val="18"/>
                <w:szCs w:val="18"/>
                <w:color w:val="auto"/>
              </w:rPr>
            </w:pPr>
          </w:p>
        </w:tc>
      </w:tr>
      <w:tr>
        <w:trPr>
          <w:trHeight w:val="216"/>
        </w:trPr>
        <w:tc>
          <w:tcPr>
            <w:tcW w:w="6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Stock-based compensation</w:t>
            </w:r>
          </w:p>
        </w:tc>
        <w:tc>
          <w:tcPr>
            <w:tcW w:w="7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238</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18"/>
                <w:szCs w:val="18"/>
                <w:color w:val="auto"/>
              </w:rPr>
            </w:pPr>
          </w:p>
        </w:tc>
      </w:tr>
      <w:tr>
        <w:trPr>
          <w:trHeight w:val="243"/>
        </w:trPr>
        <w:tc>
          <w:tcPr>
            <w:tcW w:w="68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7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6"/>
        </w:trPr>
        <w:tc>
          <w:tcPr>
            <w:tcW w:w="68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Prepaid expenses and other current and non-current assets</w:t>
            </w:r>
          </w:p>
        </w:tc>
        <w:tc>
          <w:tcPr>
            <w:tcW w:w="7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51</w:t>
            </w:r>
          </w:p>
        </w:tc>
        <w:tc>
          <w:tcPr>
            <w:tcW w:w="3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shd w:val="clear" w:color="auto" w:fill="CCEEFF"/>
          </w:tcPr>
          <w:p>
            <w:pPr>
              <w:spacing w:after="0"/>
              <w:rPr>
                <w:sz w:val="18"/>
                <w:szCs w:val="18"/>
                <w:color w:val="auto"/>
              </w:rPr>
            </w:pPr>
          </w:p>
        </w:tc>
      </w:tr>
      <w:tr>
        <w:trPr>
          <w:trHeight w:val="216"/>
        </w:trPr>
        <w:tc>
          <w:tcPr>
            <w:tcW w:w="682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107</w:t>
            </w:r>
          </w:p>
        </w:tc>
        <w:tc>
          <w:tcPr>
            <w:tcW w:w="380" w:type="dxa"/>
            <w:vAlign w:val="bottom"/>
          </w:tcPr>
          <w:p>
            <w:pPr>
              <w:spacing w:after="0"/>
              <w:rPr>
                <w:sz w:val="18"/>
                <w:szCs w:val="18"/>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80" w:type="dxa"/>
            <w:vAlign w:val="bottom"/>
          </w:tcPr>
          <w:p>
            <w:pPr>
              <w:spacing w:after="0"/>
              <w:rPr>
                <w:sz w:val="18"/>
                <w:szCs w:val="18"/>
                <w:color w:val="auto"/>
              </w:rPr>
            </w:pPr>
          </w:p>
        </w:tc>
      </w:tr>
      <w:tr>
        <w:trPr>
          <w:trHeight w:val="229"/>
        </w:trPr>
        <w:tc>
          <w:tcPr>
            <w:tcW w:w="682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Accrued expenses and other current liabilities and other non-current liabilities</w:t>
            </w:r>
          </w:p>
        </w:tc>
        <w:tc>
          <w:tcPr>
            <w:tcW w:w="7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(217)</w:t>
            </w:r>
          </w:p>
        </w:tc>
        <w:tc>
          <w:tcPr>
            <w:tcW w:w="380" w:type="dxa"/>
            <w:vAlign w:val="bottom"/>
            <w:shd w:val="clear" w:color="auto" w:fill="CCEEFF"/>
          </w:tcPr>
          <w:p>
            <w:pPr>
              <w:spacing w:after="0"/>
              <w:rPr>
                <w:sz w:val="19"/>
                <w:szCs w:val="19"/>
                <w:color w:val="auto"/>
              </w:rPr>
            </w:pPr>
          </w:p>
        </w:tc>
        <w:tc>
          <w:tcPr>
            <w:tcW w:w="14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82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740" w:type="dxa"/>
            <w:vAlign w:val="bottom"/>
            <w:tcBorders>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(999</w:t>
            </w:r>
          </w:p>
        </w:tc>
        <w:tc>
          <w:tcPr>
            <w:tcW w:w="220" w:type="dxa"/>
            <w:vAlign w:val="bottom"/>
            <w:tcBorders>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w:t>
            </w:r>
          </w:p>
        </w:tc>
        <w:tc>
          <w:tcPr>
            <w:tcW w:w="74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6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decrease in cash</w:t>
            </w:r>
          </w:p>
        </w:tc>
        <w:tc>
          <w:tcPr>
            <w:tcW w:w="7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gridSpan w:val="2"/>
          </w:tcPr>
          <w:p>
            <w:pPr>
              <w:spacing w:after="0"/>
              <w:rPr>
                <w:sz w:val="18"/>
                <w:szCs w:val="18"/>
                <w:color w:val="auto"/>
              </w:rPr>
            </w:pPr>
          </w:p>
        </w:tc>
      </w:tr>
      <w:tr>
        <w:trPr>
          <w:trHeight w:val="230"/>
        </w:trPr>
        <w:tc>
          <w:tcPr>
            <w:tcW w:w="6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at beginning of period</w:t>
            </w:r>
          </w:p>
        </w:tc>
        <w:tc>
          <w:tcPr>
            <w:tcW w:w="7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1,659</w:t>
            </w:r>
          </w:p>
        </w:tc>
        <w:tc>
          <w:tcPr>
            <w:tcW w:w="3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80" w:type="dxa"/>
            <w:vAlign w:val="bottom"/>
            <w:shd w:val="clear" w:color="auto" w:fill="CCEEFF"/>
          </w:tcPr>
          <w:p>
            <w:pPr>
              <w:spacing w:after="0"/>
              <w:rPr>
                <w:sz w:val="19"/>
                <w:szCs w:val="19"/>
                <w:color w:val="auto"/>
              </w:rPr>
            </w:pPr>
          </w:p>
        </w:tc>
      </w:tr>
      <w:tr>
        <w:trPr>
          <w:trHeight w:val="223"/>
        </w:trPr>
        <w:tc>
          <w:tcPr>
            <w:tcW w:w="6820" w:type="dxa"/>
            <w:vAlign w:val="bottom"/>
          </w:tcPr>
          <w:p>
            <w:pPr>
              <w:spacing w:after="0"/>
              <w:rPr>
                <w:sz w:val="20"/>
                <w:szCs w:val="20"/>
                <w:color w:val="auto"/>
              </w:rPr>
            </w:pPr>
            <w:r>
              <w:rPr>
                <w:rFonts w:ascii="Times New Roman" w:cs="Times New Roman" w:eastAsia="Times New Roman" w:hAnsi="Times New Roman"/>
                <w:sz w:val="18"/>
                <w:szCs w:val="18"/>
                <w:color w:val="auto"/>
              </w:rPr>
              <w:t>Cash at end of period</w:t>
            </w:r>
          </w:p>
        </w:tc>
        <w:tc>
          <w:tcPr>
            <w:tcW w:w="740" w:type="dxa"/>
            <w:vAlign w:val="bottom"/>
          </w:tcPr>
          <w:p>
            <w:pPr>
              <w:spacing w:after="0"/>
              <w:rPr>
                <w:sz w:val="19"/>
                <w:szCs w:val="19"/>
                <w:color w:val="auto"/>
              </w:rPr>
            </w:pPr>
          </w:p>
        </w:tc>
        <w:tc>
          <w:tcPr>
            <w:tcW w:w="1100" w:type="dxa"/>
            <w:vAlign w:val="bottom"/>
            <w:tcBorders>
              <w:top w:val="single" w:sz="8" w:color="auto"/>
              <w:bottom w:val="single" w:sz="8" w:color="auto"/>
            </w:tcBorders>
          </w:tcPr>
          <w:p>
            <w:pPr>
              <w:jc w:val="right"/>
              <w:ind w:right="936"/>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22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6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49" w:right="339" w:bottom="1440" w:gutter="0" w:footer="0" w:header="0"/>
        </w:sectPr>
      </w:pPr>
    </w:p>
    <w:bookmarkStart w:id="6" w:name="page7"/>
    <w:bookmarkEnd w:id="6"/>
    <w:p>
      <w:pPr>
        <w:jc w:val="center"/>
        <w:ind w:right="-39"/>
        <w:spacing w:after="0"/>
        <w:rPr>
          <w:sz w:val="20"/>
          <w:szCs w:val="20"/>
          <w:color w:val="auto"/>
        </w:rPr>
      </w:pPr>
      <w:r>
        <w:rPr>
          <w:rFonts w:ascii="Times New Roman" w:cs="Times New Roman" w:eastAsia="Times New Roman" w:hAnsi="Times New Roman"/>
          <w:sz w:val="16"/>
          <w:szCs w:val="16"/>
          <w:b w:val="1"/>
          <w:bCs w:val="1"/>
          <w:color w:val="212529"/>
        </w:rPr>
        <w:t>ZAPATA QUANTUM, INC.</w:t>
      </w:r>
    </w:p>
    <w:p>
      <w:pPr>
        <w:spacing w:after="0" w:line="2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212529"/>
        </w:rPr>
        <w:t>NOTES TO CONDENSED CONSOLIDATED FINANCIAL STATEMENTS</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212529"/>
        </w:rPr>
        <w:t>(UNAUDITED)</w:t>
      </w:r>
    </w:p>
    <w:p>
      <w:pPr>
        <w:spacing w:after="0" w:line="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212529"/>
        </w:rPr>
        <w:t>(Dollar amounts in thousands, except per share and share amounts)</w:t>
      </w:r>
    </w:p>
    <w:p>
      <w:pPr>
        <w:spacing w:after="0" w:line="20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color w:val="auto"/>
        </w:rPr>
        <w:t>1. Nature of the Business and Basis of Presentation</w:t>
      </w:r>
    </w:p>
    <w:p>
      <w:pPr>
        <w:spacing w:after="0" w:line="256" w:lineRule="exact"/>
        <w:rPr>
          <w:sz w:val="20"/>
          <w:szCs w:val="20"/>
          <w:color w:val="auto"/>
        </w:rPr>
      </w:pPr>
    </w:p>
    <w:p>
      <w:pPr>
        <w:ind w:right="40" w:firstLine="498"/>
        <w:spacing w:after="0" w:line="258" w:lineRule="auto"/>
        <w:rPr>
          <w:sz w:val="20"/>
          <w:szCs w:val="20"/>
          <w:color w:val="auto"/>
        </w:rPr>
      </w:pPr>
      <w:r>
        <w:rPr>
          <w:rFonts w:ascii="Times New Roman" w:cs="Times New Roman" w:eastAsia="Times New Roman" w:hAnsi="Times New Roman"/>
          <w:sz w:val="18"/>
          <w:szCs w:val="18"/>
          <w:color w:val="auto"/>
        </w:rPr>
        <w:t>Zapata Quantum, Inc. (the “Company”, “we”, “us”, or “our”), following a strategic realignment in 2025, offers solutions to efficiently deploy and accelerate the development of quantum and hybrid quantum-classical computing applications. These solutions include software and software tools supported by services. Its software platform is based on patented technology and supports a wide range of use cases in cryptography, pharmaceuticals, manufacturing, materials discovery and defense. These planned operations are subject to the Company raising sufficient capital. The Company has worked with Fortune 500 enterprises and government agencies to unlock the potential of quantum computing.</w:t>
      </w:r>
    </w:p>
    <w:p>
      <w:pPr>
        <w:spacing w:after="0" w:line="183" w:lineRule="exact"/>
        <w:rPr>
          <w:sz w:val="20"/>
          <w:szCs w:val="20"/>
          <w:color w:val="auto"/>
        </w:rPr>
      </w:pPr>
    </w:p>
    <w:p>
      <w:pPr>
        <w:ind w:firstLine="567"/>
        <w:spacing w:after="0" w:line="253"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of the Company have been prepared in conformity with accounting principles generally accepted in the United States of America (“U.S. GAAP”) and the applicable rules and regulations of the Securities and Exchange Commission (the “SEC”) regarding interim financial reporting. Certain information and note disclosures normally included in the financial statements prepared in accordance with U.S. GAAP have been condensed or omitted pursuant to such rules and regulations. We believe that the disclosures contained in these condensed financial statements are adequate to make the information presented herein not misleading. These condensed financial statements should be read in conjunction with the financial statements contained in the Company’s Annual Report on Form 10-K for the year ended December 31, 2025, filed with the SEC on March 31, 2026 (the “Annual Report”). The accompanying condensed consolidated financial statements are unaudited, and in the opinion of management, contain all adjustments, including normal recurring adjustments, necessary to present fairly the Company’s financial position as of March 31, 2026, and the results of its operations and its cash flows for the three months ended March 31, 2026 and 2025. The balance sheet as of December 31, 2025 is derived from the Company’s audited financial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 xml:space="preserve">The accompanying condensed financial statements have been prepared on a going concern basis, which contemplates the realization of assets and the settlement of liabilities and commitments in the normal course of business. For the three months ended March 31, 2026, the Company recorded a net loss of $1,310, used cash in operations of $999 and had a stockholders’ deficit of $9,357 as of that date. As of March 31, 2026, the Company had a cash balance of $642. Cash used in operations was primarily from the Company’s operating losses, working capital, and investment in strategic growth initiatives. The Company has incurred significant losses and negative cash flows from operations since inception and expects to continue to incur losses and negative cash flows for the foreseeable future as the Company expands its penetration of the quantum computing application development market. In accordance with Accounting Standards Codification (“ASC”) 205-40, </w:t>
      </w:r>
      <w:r>
        <w:rPr>
          <w:rFonts w:ascii="Times New Roman" w:cs="Times New Roman" w:eastAsia="Times New Roman" w:hAnsi="Times New Roman"/>
          <w:sz w:val="18"/>
          <w:szCs w:val="18"/>
          <w:i w:val="1"/>
          <w:iCs w:val="1"/>
          <w:color w:val="auto"/>
        </w:rPr>
        <w:t>Going Concern</w:t>
      </w:r>
      <w:r>
        <w:rPr>
          <w:rFonts w:ascii="Times New Roman" w:cs="Times New Roman" w:eastAsia="Times New Roman" w:hAnsi="Times New Roman"/>
          <w:sz w:val="18"/>
          <w:szCs w:val="18"/>
          <w:color w:val="auto"/>
        </w:rPr>
        <w:t>, the Company’s management has evaluated whether there are certain conditions and events, considered in the aggregate, that raise substantial doubt about the Company’s ability to continue as a going concern within one year after the date that the condensed consolidated financial statements are issued.</w:t>
      </w:r>
    </w:p>
    <w:p>
      <w:pPr>
        <w:spacing w:after="0" w:line="188" w:lineRule="exact"/>
        <w:rPr>
          <w:sz w:val="20"/>
          <w:szCs w:val="20"/>
          <w:color w:val="auto"/>
        </w:rPr>
      </w:pPr>
    </w:p>
    <w:p>
      <w:pPr>
        <w:ind w:right="120" w:firstLine="498"/>
        <w:spacing w:after="0" w:line="256" w:lineRule="auto"/>
        <w:rPr>
          <w:sz w:val="20"/>
          <w:szCs w:val="20"/>
          <w:color w:val="auto"/>
        </w:rPr>
      </w:pPr>
      <w:r>
        <w:rPr>
          <w:rFonts w:ascii="Times New Roman" w:cs="Times New Roman" w:eastAsia="Times New Roman" w:hAnsi="Times New Roman"/>
          <w:sz w:val="18"/>
          <w:szCs w:val="18"/>
          <w:color w:val="auto"/>
        </w:rPr>
        <w:t>In April 2026, the Company sold and issued to accredited investors a total of 15,000 shares of Series D preferred stock (which are convertible into 34,160,784 shares of Common Stock, subject to adjustment) and Warrants to purchase up to 17,080,392 shares of Common Stock (representing 50% warrant coverage on an as-converted basis) for total gross proceeds of $15,000. The Company received net proceeds of $13,838 after deducting commissions and fees (see Note 12). The Company intends to use the net proceeds for working capital and general corporate purposes. As of the issuance date of these financial statements, management now expects that the Company’s existing cash will be sufficient to fund the Company’s current operating plan for at least twelve months from the date of issuance of these financial statements.</w:t>
      </w:r>
    </w:p>
    <w:p>
      <w:pPr>
        <w:spacing w:after="0" w:line="187" w:lineRule="exact"/>
        <w:rPr>
          <w:sz w:val="20"/>
          <w:szCs w:val="20"/>
          <w:color w:val="auto"/>
        </w:rPr>
      </w:pPr>
    </w:p>
    <w:p>
      <w:pPr>
        <w:ind w:right="20" w:firstLine="498"/>
        <w:spacing w:after="0" w:line="256" w:lineRule="auto"/>
        <w:rPr>
          <w:sz w:val="20"/>
          <w:szCs w:val="20"/>
          <w:color w:val="auto"/>
        </w:rPr>
      </w:pPr>
      <w:r>
        <w:rPr>
          <w:rFonts w:ascii="Times New Roman" w:cs="Times New Roman" w:eastAsia="Times New Roman" w:hAnsi="Times New Roman"/>
          <w:sz w:val="18"/>
          <w:szCs w:val="18"/>
          <w:color w:val="auto"/>
        </w:rPr>
        <w:t>The Company is subject to risks and uncertainties similar to those of other companies of similar size in its industry, including, but not limited to, the need for successful development of products, competition from substitute products and services from larger companies, protection of proprietary technology, patent litigation, dependence on key individuals, risks associated with changes in information technology, and the ability to raise additional capital to fund operations. The Company’s long-term success is dependent upon its ability to successfully market, deliver, and scale its quantum computing application development solutions, increase revenue, meet its obligations, obtain additional capital when needed and, ultimately, achieve profitable operations.</w:t>
      </w:r>
    </w:p>
    <w:p>
      <w:pPr>
        <w:spacing w:after="0" w:line="187" w:lineRule="exact"/>
        <w:rPr>
          <w:sz w:val="20"/>
          <w:szCs w:val="20"/>
          <w:color w:val="auto"/>
        </w:rPr>
      </w:pPr>
    </w:p>
    <w:p>
      <w:pPr>
        <w:ind w:right="200" w:firstLine="498"/>
        <w:spacing w:after="0" w:line="261" w:lineRule="auto"/>
        <w:rPr>
          <w:sz w:val="20"/>
          <w:szCs w:val="20"/>
          <w:color w:val="auto"/>
        </w:rPr>
      </w:pPr>
      <w:r>
        <w:rPr>
          <w:rFonts w:ascii="Times New Roman" w:cs="Times New Roman" w:eastAsia="Times New Roman" w:hAnsi="Times New Roman"/>
          <w:sz w:val="18"/>
          <w:szCs w:val="18"/>
          <w:color w:val="auto"/>
        </w:rPr>
        <w:t>Although Management believes that it will be able to continue to raise funds by sale of its securities to provide the additional cash needed to meet the Company’s obligations, the restructuring activities aimed at restarting certain aspects of its core business require substantial funds to implement and there is no assurance that the Company will be able to continue raising the additional capital necessary to continue operations and execute on the Company’s business plan.</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677"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9" w:lineRule="exact"/>
        <w:rPr>
          <w:sz w:val="20"/>
          <w:szCs w:val="20"/>
          <w:color w:val="auto"/>
        </w:rPr>
      </w:pPr>
    </w:p>
    <w:p>
      <w:pPr>
        <w:ind w:right="340" w:firstLine="486"/>
        <w:spacing w:after="0" w:line="266" w:lineRule="auto"/>
        <w:rPr>
          <w:sz w:val="20"/>
          <w:szCs w:val="20"/>
          <w:color w:val="auto"/>
        </w:rPr>
      </w:pPr>
      <w:r>
        <w:rPr>
          <w:rFonts w:ascii="Times New Roman" w:cs="Times New Roman" w:eastAsia="Times New Roman" w:hAnsi="Times New Roman"/>
          <w:sz w:val="18"/>
          <w:szCs w:val="18"/>
          <w:color w:val="auto"/>
        </w:rPr>
        <w:t>The Company’s significant accounting policies are detailed in “Note 2. Summary of Significant Accounting Policies” of the Company’s Annual Report. The Company uses the same accounting policies in preparing its quarterly and annual consolidated financial statements. There have been no material changes to significant accounting policies during the three months ended March 31,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40" w:firstLine="498"/>
        <w:spacing w:after="0" w:line="253" w:lineRule="auto"/>
        <w:rPr>
          <w:sz w:val="20"/>
          <w:szCs w:val="20"/>
          <w:color w:val="auto"/>
        </w:rPr>
      </w:pPr>
      <w:r>
        <w:rPr>
          <w:rFonts w:ascii="Times New Roman" w:cs="Times New Roman" w:eastAsia="Times New Roman" w:hAnsi="Times New Roman"/>
          <w:sz w:val="18"/>
          <w:szCs w:val="18"/>
          <w:color w:val="auto"/>
        </w:rPr>
        <w:t>The preparation of the Company’s unaudited condensed consolidated financial statements in conformity with U.S. GAAP requires management to make estimates and assumptions that affect the reported amounts of assets and liabilities and the disclosure of contingent assets and liabilities at the date of the unaudited condensed consolidated financial statements and the reported amounts of revenues and expenses during the reporting periods. Significant estimates and assumptions reflected within these condensed consolidated financial statements include, but are not limited to, revenue recognition, , the valuation of the Company’s Common Stock, and the fair value of stock-based awards. The Company’s estimates are based on historical information available as of the date of the unaudited condensed consolidated financial statements and various other assumptions that the Company believes are reasonable under the circumstances. Actual results may differ materially from those estimates or assumptions.</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Instruments</w:t>
      </w:r>
    </w:p>
    <w:p>
      <w:pPr>
        <w:spacing w:after="0" w:line="9" w:lineRule="exact"/>
        <w:rPr>
          <w:sz w:val="20"/>
          <w:szCs w:val="20"/>
          <w:color w:val="auto"/>
        </w:rPr>
      </w:pPr>
    </w:p>
    <w:p>
      <w:pPr>
        <w:ind w:firstLine="648"/>
        <w:spacing w:after="0" w:line="250" w:lineRule="auto"/>
        <w:rPr>
          <w:sz w:val="20"/>
          <w:szCs w:val="20"/>
          <w:color w:val="auto"/>
        </w:rPr>
      </w:pPr>
      <w:r>
        <w:rPr>
          <w:rFonts w:ascii="Times New Roman" w:cs="Times New Roman" w:eastAsia="Times New Roman" w:hAnsi="Times New Roman"/>
          <w:sz w:val="18"/>
          <w:szCs w:val="18"/>
          <w:color w:val="auto"/>
        </w:rPr>
        <w:t>The Company accounts for warrants as either equity-classified or liability-classified instruments based on an assessment of the instruments’ specific terms and applicable authoritative guidance in ASC 480 and ASC 815. The assessment considers whether the instruments are freestanding financial instruments pursuant to ASC 480, meet the definition of a liability pursuant to ASC 480, and whether the instruments meet all of the requirements for equity classification under ASC 815, including whether the instruments are indexed to the Company’s own Common Stock and whether the instrument holders could potentially require net cash settlement in a circumstance outside of the Company’s control, among other conditions for equity classification. This assessment, which requires the use of professional judgment, is conducted at the time of warrant issuance and, for liability-classified warrants, at each reporting period end date while the warrants are outstanding.</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policies</w:t>
      </w:r>
    </w:p>
    <w:p>
      <w:pPr>
        <w:spacing w:after="0" w:line="207" w:lineRule="exact"/>
        <w:rPr>
          <w:sz w:val="20"/>
          <w:szCs w:val="20"/>
          <w:color w:val="auto"/>
        </w:rPr>
      </w:pPr>
    </w:p>
    <w:p>
      <w:pPr>
        <w:ind w:right="160" w:firstLine="486"/>
        <w:spacing w:after="0" w:line="266" w:lineRule="auto"/>
        <w:rPr>
          <w:sz w:val="20"/>
          <w:szCs w:val="20"/>
          <w:color w:val="auto"/>
        </w:rPr>
      </w:pPr>
      <w:r>
        <w:rPr>
          <w:rFonts w:ascii="Times New Roman" w:cs="Times New Roman" w:eastAsia="Times New Roman" w:hAnsi="Times New Roman"/>
          <w:sz w:val="18"/>
          <w:szCs w:val="18"/>
          <w:color w:val="auto"/>
        </w:rPr>
        <w:t>The Company’s other significant accounting policies are detailed in “Note 2. Summary of Significant Accounting Policies” of the Company’s Annual Report. The Company uses the same accounting policies in preparing its quarterly and annual consolidated financial statements. There have been no material changes to significant accounting policies during the three months ended March 31,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7" w:lineRule="exact"/>
        <w:rPr>
          <w:sz w:val="20"/>
          <w:szCs w:val="20"/>
          <w:color w:val="auto"/>
        </w:rPr>
      </w:pPr>
    </w:p>
    <w:p>
      <w:pPr>
        <w:ind w:right="80" w:firstLine="498"/>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Disaggregation of Income Statement Expenses</w:t>
      </w:r>
      <w:r>
        <w:rPr>
          <w:rFonts w:ascii="Times New Roman" w:cs="Times New Roman" w:eastAsia="Times New Roman" w:hAnsi="Times New Roman"/>
          <w:sz w:val="18"/>
          <w:szCs w:val="18"/>
          <w:color w:val="auto"/>
        </w:rPr>
        <w:t>. This ASU requires more detailed disclosures, on an annual and interim basis, about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specified categories of expenses (including employee compensation, depreciation, and amortization) included in certain expense captions presented on the face of the income statement. This ASU is effective for fiscal years beginning after December 15, 2026, and interim periods within fiscal years beginning after December 15, 2027. Early adoption is permitted. This ASU may be applied either prospectively or retrospectively. The Company is currently in the process of evaluating the impact of this pronouncement on its related disclosures.</w:t>
      </w:r>
    </w:p>
    <w:p>
      <w:pPr>
        <w:spacing w:after="0" w:line="184" w:lineRule="exact"/>
        <w:rPr>
          <w:sz w:val="20"/>
          <w:szCs w:val="20"/>
          <w:color w:val="auto"/>
        </w:rPr>
      </w:pPr>
    </w:p>
    <w:p>
      <w:pPr>
        <w:ind w:right="60" w:firstLine="498"/>
        <w:spacing w:after="0" w:line="266" w:lineRule="auto"/>
        <w:rPr>
          <w:sz w:val="20"/>
          <w:szCs w:val="20"/>
          <w:color w:val="auto"/>
        </w:rPr>
      </w:pPr>
      <w:r>
        <w:rPr>
          <w:rFonts w:ascii="Times New Roman" w:cs="Times New Roman" w:eastAsia="Times New Roman" w:hAnsi="Times New Roman"/>
          <w:sz w:val="18"/>
          <w:szCs w:val="18"/>
          <w:color w:val="auto"/>
        </w:rPr>
        <w:t>Other recent accounting pronouncements and guidance issued by the FASB, its Emerging Issues Task Force, the American Institute of Certified Public Accountants, and the Securities and Exchange Commission did not or are not believed by management to have a material impact on the Company’s present or future financial statements.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684"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3. Accrued Expenses and Other Current Liabilities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5420" w:type="dxa"/>
            <w:vAlign w:val="bottom"/>
          </w:tcPr>
          <w:p>
            <w:pPr>
              <w:spacing w:after="0"/>
              <w:rPr>
                <w:sz w:val="15"/>
                <w:szCs w:val="15"/>
                <w:color w:val="auto"/>
              </w:rPr>
            </w:pPr>
          </w:p>
        </w:tc>
        <w:tc>
          <w:tcPr>
            <w:tcW w:w="3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10"/>
        </w:trPr>
        <w:tc>
          <w:tcPr>
            <w:tcW w:w="5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employee compensation and benefit</w:t>
            </w:r>
          </w:p>
        </w:tc>
        <w:tc>
          <w:tcPr>
            <w:tcW w:w="21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060"/>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2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331</w:t>
            </w:r>
          </w:p>
        </w:tc>
        <w:tc>
          <w:tcPr>
            <w:tcW w:w="26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259</w:t>
            </w:r>
          </w:p>
        </w:tc>
      </w:tr>
      <w:tr>
        <w:trPr>
          <w:trHeight w:val="216"/>
        </w:trPr>
        <w:tc>
          <w:tcPr>
            <w:tcW w:w="5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Refunds payable</w:t>
            </w:r>
          </w:p>
        </w:tc>
        <w:tc>
          <w:tcPr>
            <w:tcW w:w="2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750</w:t>
            </w:r>
          </w:p>
        </w:tc>
        <w:tc>
          <w:tcPr>
            <w:tcW w:w="2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w:t>
            </w:r>
          </w:p>
        </w:tc>
      </w:tr>
      <w:tr>
        <w:trPr>
          <w:trHeight w:val="229"/>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459</w:t>
            </w:r>
          </w:p>
        </w:tc>
        <w:tc>
          <w:tcPr>
            <w:tcW w:w="260" w:type="dxa"/>
            <w:vAlign w:val="bottom"/>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682</w:t>
            </w:r>
          </w:p>
        </w:tc>
      </w:tr>
      <w:tr>
        <w:trPr>
          <w:trHeight w:val="223"/>
        </w:trPr>
        <w:tc>
          <w:tcPr>
            <w:tcW w:w="5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CCEEFF"/>
              </w:rPr>
              <w:t>Accrued expenses and other current liabilities</w:t>
            </w:r>
          </w:p>
        </w:tc>
        <w:tc>
          <w:tcPr>
            <w:tcW w:w="214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ind w:right="1060"/>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4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Debt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aggregate principal amount of debt outstanding as of March 31, 2026 and December 31, 2025 consisted of the following:</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4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4840" w:type="dxa"/>
            <w:vAlign w:val="bottom"/>
          </w:tcPr>
          <w:p>
            <w:pPr>
              <w:spacing w:after="0"/>
              <w:rPr>
                <w:sz w:val="15"/>
                <w:szCs w:val="15"/>
                <w:color w:val="auto"/>
              </w:rPr>
            </w:pPr>
          </w:p>
        </w:tc>
        <w:tc>
          <w:tcPr>
            <w:tcW w:w="3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20" w:type="dxa"/>
            <w:vAlign w:val="bottom"/>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r>
      <w:tr>
        <w:trPr>
          <w:trHeight w:val="209"/>
        </w:trPr>
        <w:tc>
          <w:tcPr>
            <w:tcW w:w="48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notes</w:t>
            </w:r>
          </w:p>
        </w:tc>
        <w:tc>
          <w:tcPr>
            <w:tcW w:w="27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060"/>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1,311</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promissory notes</w:t>
            </w:r>
          </w:p>
        </w:tc>
        <w:tc>
          <w:tcPr>
            <w:tcW w:w="27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3,227</w:t>
            </w:r>
          </w:p>
        </w:tc>
        <w:tc>
          <w:tcPr>
            <w:tcW w:w="260" w:type="dxa"/>
            <w:vAlign w:val="bottom"/>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3,133</w:t>
            </w:r>
          </w:p>
        </w:tc>
      </w:tr>
      <w:tr>
        <w:trPr>
          <w:trHeight w:val="223"/>
        </w:trPr>
        <w:tc>
          <w:tcPr>
            <w:tcW w:w="48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CCEEFF"/>
              </w:rPr>
              <w:t>Total Debt</w:t>
            </w:r>
          </w:p>
        </w:tc>
        <w:tc>
          <w:tcPr>
            <w:tcW w:w="2720" w:type="dxa"/>
            <w:vAlign w:val="bottom"/>
            <w:tcBorders>
              <w:top w:val="single" w:sz="8" w:color="CCEEFF"/>
              <w:bottom w:val="single" w:sz="8" w:color="CCEEFF"/>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ind w:right="1060"/>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8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Secured Notes</w:t>
      </w:r>
    </w:p>
    <w:p>
      <w:pPr>
        <w:spacing w:after="0" w:line="229" w:lineRule="exact"/>
        <w:rPr>
          <w:sz w:val="20"/>
          <w:szCs w:val="20"/>
          <w:color w:val="auto"/>
        </w:rPr>
      </w:pPr>
    </w:p>
    <w:p>
      <w:pPr>
        <w:ind w:right="100" w:firstLine="498"/>
        <w:spacing w:after="0" w:line="258" w:lineRule="auto"/>
        <w:rPr>
          <w:sz w:val="20"/>
          <w:szCs w:val="20"/>
          <w:color w:val="auto"/>
        </w:rPr>
      </w:pPr>
      <w:r>
        <w:rPr>
          <w:rFonts w:ascii="Times New Roman" w:cs="Times New Roman" w:eastAsia="Times New Roman" w:hAnsi="Times New Roman"/>
          <w:sz w:val="18"/>
          <w:szCs w:val="18"/>
          <w:color w:val="auto"/>
        </w:rPr>
        <w:t>The Senior Secured Notes bear interest at the compound rate of 15% per annum and are convertible at the option of each noteholder at $8.50 per share. The outstanding principal amount of the Senior Secured Notes and all accrued but unpaid interest will be due and payable at the maturity date, December 15, 2026, unless otherwise converted. While any Senior Secured Notes are outstanding, the Company cannot incur additional indebtedness for borrowed funds, except additional Senior Secured Notes, substantially similar notes or other debt instruments that are pari passu with or subordinate to the Senior Secured Notes.</w:t>
      </w:r>
    </w:p>
    <w:p>
      <w:pPr>
        <w:spacing w:after="0" w:line="183" w:lineRule="exact"/>
        <w:rPr>
          <w:sz w:val="20"/>
          <w:szCs w:val="20"/>
          <w:color w:val="auto"/>
        </w:rPr>
      </w:pPr>
    </w:p>
    <w:p>
      <w:pPr>
        <w:ind w:right="160" w:firstLine="498"/>
        <w:spacing w:after="0" w:line="261" w:lineRule="auto"/>
        <w:rPr>
          <w:sz w:val="20"/>
          <w:szCs w:val="20"/>
          <w:color w:val="auto"/>
        </w:rPr>
      </w:pPr>
      <w:r>
        <w:rPr>
          <w:rFonts w:ascii="Times New Roman" w:cs="Times New Roman" w:eastAsia="Times New Roman" w:hAnsi="Times New Roman"/>
          <w:sz w:val="18"/>
          <w:szCs w:val="18"/>
          <w:color w:val="auto"/>
        </w:rPr>
        <w:t>As of December 31, 2025, the aggregate principal and accrued interest outstanding under the Senior Secured Notes totaled $1,273. The Company recognized approximately $38 of interest expense for the three months ended March 31, 2026, which is included within interest expense in the condensed consolidated statements of operations and comprehensive income (loss). As of March 31, 2026, the aggregate principal and accrued interest outstanding under the Senior Secured Notes totaled $1,311.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Promissory Notes</w:t>
      </w:r>
    </w:p>
    <w:p>
      <w:pPr>
        <w:spacing w:after="0" w:line="229" w:lineRule="exact"/>
        <w:rPr>
          <w:sz w:val="20"/>
          <w:szCs w:val="20"/>
          <w:color w:val="auto"/>
        </w:rPr>
      </w:pPr>
    </w:p>
    <w:p>
      <w:pPr>
        <w:jc w:val="both"/>
        <w:ind w:right="260" w:firstLine="498"/>
        <w:spacing w:after="0" w:line="266" w:lineRule="auto"/>
        <w:rPr>
          <w:sz w:val="20"/>
          <w:szCs w:val="20"/>
          <w:color w:val="auto"/>
        </w:rPr>
      </w:pPr>
      <w:r>
        <w:rPr>
          <w:rFonts w:ascii="Times New Roman" w:cs="Times New Roman" w:eastAsia="Times New Roman" w:hAnsi="Times New Roman"/>
          <w:sz w:val="18"/>
          <w:szCs w:val="18"/>
          <w:color w:val="auto"/>
        </w:rPr>
        <w:t>In June 2025 the Company entered into a security purchase agreement with accredited investors pursuant to which the Company sold and issued secured convertible promissory notes (“Convertible Promissory Notes”) and warrants to purchase 37,500,000 shares of Common Stock (“Warrants”) for total gross proceeds of $3,000.</w:t>
      </w:r>
    </w:p>
    <w:p>
      <w:pPr>
        <w:spacing w:after="0" w:line="176" w:lineRule="exact"/>
        <w:rPr>
          <w:sz w:val="20"/>
          <w:szCs w:val="20"/>
          <w:color w:val="auto"/>
        </w:rPr>
      </w:pPr>
    </w:p>
    <w:p>
      <w:pPr>
        <w:ind w:right="80" w:firstLine="486"/>
        <w:spacing w:after="0" w:line="266" w:lineRule="auto"/>
        <w:rPr>
          <w:sz w:val="20"/>
          <w:szCs w:val="20"/>
          <w:color w:val="auto"/>
        </w:rPr>
      </w:pPr>
      <w:r>
        <w:rPr>
          <w:rFonts w:ascii="Times New Roman" w:cs="Times New Roman" w:eastAsia="Times New Roman" w:hAnsi="Times New Roman"/>
          <w:sz w:val="18"/>
          <w:szCs w:val="18"/>
          <w:color w:val="auto"/>
        </w:rPr>
        <w:t>The Convertible Promissory Notes bear simple interest at a rate of 10.00% per annum and mature in June 2026, unless earlier converted or repaid in accordance with its terms. Interest accrues daily based on a 360-day year and will not be paid in cash prior to maturity unless the Convertible Promissory Notes are repaid before conversion.</w:t>
      </w:r>
    </w:p>
    <w:p>
      <w:pPr>
        <w:spacing w:after="0" w:line="203" w:lineRule="exact"/>
        <w:rPr>
          <w:sz w:val="20"/>
          <w:szCs w:val="20"/>
          <w:color w:val="auto"/>
        </w:rPr>
      </w:pPr>
    </w:p>
    <w:p>
      <w:pPr>
        <w:ind w:right="40" w:firstLine="486"/>
        <w:spacing w:after="0" w:line="282" w:lineRule="auto"/>
        <w:rPr>
          <w:sz w:val="20"/>
          <w:szCs w:val="20"/>
          <w:color w:val="auto"/>
        </w:rPr>
      </w:pPr>
      <w:r>
        <w:rPr>
          <w:rFonts w:ascii="Times New Roman" w:cs="Times New Roman" w:eastAsia="Times New Roman" w:hAnsi="Times New Roman"/>
          <w:sz w:val="18"/>
          <w:szCs w:val="18"/>
          <w:color w:val="auto"/>
        </w:rPr>
        <w:t>The Convertible Promissory Notes may not be prepaid before the maturity date without the written consent of the holder and is secured pursuant to a Security Agreement entered into concurrently with the issuance.</w:t>
      </w:r>
    </w:p>
    <w:p>
      <w:pPr>
        <w:spacing w:after="0" w:line="162" w:lineRule="exact"/>
        <w:rPr>
          <w:sz w:val="20"/>
          <w:szCs w:val="20"/>
          <w:color w:val="auto"/>
        </w:rPr>
      </w:pPr>
    </w:p>
    <w:p>
      <w:pPr>
        <w:jc w:val="both"/>
        <w:ind w:right="120" w:firstLine="486"/>
        <w:spacing w:after="0" w:line="266" w:lineRule="auto"/>
        <w:rPr>
          <w:sz w:val="20"/>
          <w:szCs w:val="20"/>
          <w:color w:val="auto"/>
        </w:rPr>
      </w:pPr>
      <w:r>
        <w:rPr>
          <w:rFonts w:ascii="Times New Roman" w:cs="Times New Roman" w:eastAsia="Times New Roman" w:hAnsi="Times New Roman"/>
          <w:sz w:val="18"/>
          <w:szCs w:val="18"/>
          <w:color w:val="auto"/>
        </w:rPr>
        <w:t>The Convertible Promissory Notes are convertible into 75,000,000 shares of the Company’s Common Stock at the option of the holder at any time prior to repayment. The conversion price is $0.04 per share, subject to customary anti-dilution adjustments for stock splits, stock dividends, combinations, or recapitalizations (the “Conversion Price”). Upon conversion, any unpaid accrued interest is automatically forgiven.</w:t>
      </w:r>
    </w:p>
    <w:p>
      <w:pPr>
        <w:spacing w:after="0" w:line="1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9" w:name="page10"/>
    <w:bookmarkEnd w:id="9"/>
    <w:p>
      <w:pPr>
        <w:ind w:right="240" w:firstLine="486"/>
        <w:spacing w:after="0" w:line="261" w:lineRule="auto"/>
        <w:rPr>
          <w:sz w:val="20"/>
          <w:szCs w:val="20"/>
          <w:color w:val="auto"/>
        </w:rPr>
      </w:pPr>
      <w:r>
        <w:rPr>
          <w:rFonts w:ascii="Times New Roman" w:cs="Times New Roman" w:eastAsia="Times New Roman" w:hAnsi="Times New Roman"/>
          <w:sz w:val="18"/>
          <w:szCs w:val="18"/>
          <w:color w:val="auto"/>
        </w:rPr>
        <w:t>The outstanding principal balance under the Convertible Promissory Notes automatically convert into Common Stock upon the closing of a Qualified Financing, which excludes the issuance of Preferred Shares, with aggregate gross proceeds of at least $5,000, at the Conversion Price. In the event of a Change of Control prior to maturity, the holder may elect to (i) have the outstanding principal and accrued interest repaid in full or (ii) convert the principal into shares of Common Stock at the Conversion Price. Accrued interest is forgiven upon such conversion.</w:t>
      </w:r>
    </w:p>
    <w:p>
      <w:pPr>
        <w:spacing w:after="0" w:line="180" w:lineRule="exact"/>
        <w:rPr>
          <w:sz w:val="20"/>
          <w:szCs w:val="20"/>
          <w:color w:val="auto"/>
        </w:rPr>
      </w:pPr>
    </w:p>
    <w:p>
      <w:pPr>
        <w:ind w:firstLine="486"/>
        <w:spacing w:after="0" w:line="261" w:lineRule="auto"/>
        <w:rPr>
          <w:sz w:val="20"/>
          <w:szCs w:val="20"/>
          <w:color w:val="auto"/>
        </w:rPr>
      </w:pPr>
      <w:r>
        <w:rPr>
          <w:rFonts w:ascii="Times New Roman" w:cs="Times New Roman" w:eastAsia="Times New Roman" w:hAnsi="Times New Roman"/>
          <w:sz w:val="18"/>
          <w:szCs w:val="18"/>
          <w:color w:val="auto"/>
        </w:rPr>
        <w:t>Upon the occurrence of an Event of Default and written notice from the holder (or automatically upon certain bankruptcy-related events), the Convertible Promissory Notes become immediately due and payable, together with all accrued interest. Events of Default include (i) failure to pay principal or interest when due, (ii) breaches of covenants in the Convertible Promissory Notes or the Securities Purchase Agreement, (iii) bankruptcy or insolvency events, and (iv) defaults under other indebtedness exceeding $200.</w:t>
      </w:r>
    </w:p>
    <w:p>
      <w:pPr>
        <w:spacing w:after="0" w:line="180" w:lineRule="exact"/>
        <w:rPr>
          <w:sz w:val="20"/>
          <w:szCs w:val="20"/>
          <w:color w:val="auto"/>
        </w:rPr>
      </w:pPr>
    </w:p>
    <w:p>
      <w:pPr>
        <w:ind w:right="240"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the issuance of the Convertible Promissory Notes, the Company incurred debt issuance costs totaling $75. These costs were recorded as a reduction to the carrying value of the Convertible Promissory Notes and are amortized to interest expense over the one-year term using the effective interest method. The effective interest rate on the Convertible Note is 12.64%.</w:t>
      </w:r>
    </w:p>
    <w:p>
      <w:pPr>
        <w:spacing w:after="0" w:line="176" w:lineRule="exact"/>
        <w:rPr>
          <w:sz w:val="20"/>
          <w:szCs w:val="20"/>
          <w:color w:val="auto"/>
        </w:rPr>
      </w:pPr>
    </w:p>
    <w:p>
      <w:pPr>
        <w:jc w:val="both"/>
        <w:ind w:right="20" w:firstLine="528"/>
        <w:spacing w:after="0" w:line="266" w:lineRule="auto"/>
        <w:rPr>
          <w:sz w:val="20"/>
          <w:szCs w:val="20"/>
          <w:color w:val="auto"/>
        </w:rPr>
      </w:pPr>
      <w:r>
        <w:rPr>
          <w:rFonts w:ascii="Times New Roman" w:cs="Times New Roman" w:eastAsia="Times New Roman" w:hAnsi="Times New Roman"/>
          <w:sz w:val="18"/>
          <w:szCs w:val="18"/>
          <w:color w:val="auto"/>
        </w:rPr>
        <w:t>The Company accounts for its Convertible Promissory Notes at amortized cost. No portion of the proceeds was allocated to the conversion features, as the embedded conversion options did not require separate derivative accounting and the notes were not issued at a premium subject to ASC 470. The fair value of the warrants issued in connection with the notes was not material.</w:t>
      </w:r>
    </w:p>
    <w:p>
      <w:pPr>
        <w:spacing w:after="0" w:line="176" w:lineRule="exact"/>
        <w:rPr>
          <w:sz w:val="20"/>
          <w:szCs w:val="20"/>
          <w:color w:val="auto"/>
        </w:rPr>
      </w:pPr>
    </w:p>
    <w:p>
      <w:pPr>
        <w:ind w:right="140" w:firstLine="498"/>
        <w:spacing w:after="0" w:line="258" w:lineRule="auto"/>
        <w:rPr>
          <w:sz w:val="20"/>
          <w:szCs w:val="20"/>
          <w:color w:val="auto"/>
        </w:rPr>
      </w:pPr>
      <w:r>
        <w:rPr>
          <w:rFonts w:ascii="Times New Roman" w:cs="Times New Roman" w:eastAsia="Times New Roman" w:hAnsi="Times New Roman"/>
          <w:sz w:val="18"/>
          <w:szCs w:val="18"/>
          <w:color w:val="auto"/>
        </w:rPr>
        <w:t>The balance of the Convertible Promissory Notes and accrued interest was $3,113 at December 31, 2025. The Company recognized approximately $75 of interest expense for the three months ended March 31, 2026, which is included within interest expense in the condensed consolidated statements of operations and comprehensive income (loss). Interest expense attributable to the amortization of debt issuance costs incurred with third-party financing arrangements was $19 and recorded to interest expense for the three months ended March 31, 2026. The balance of the Convertible Promissory Notes and accrued interest was $3,227 at March 31, 2026.</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Commitment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Forbearance Agreements</w:t>
      </w:r>
    </w:p>
    <w:p>
      <w:pPr>
        <w:spacing w:after="0" w:line="229" w:lineRule="exact"/>
        <w:rPr>
          <w:sz w:val="20"/>
          <w:szCs w:val="20"/>
          <w:color w:val="auto"/>
        </w:rPr>
      </w:pPr>
    </w:p>
    <w:p>
      <w:pPr>
        <w:ind w:right="20" w:firstLine="567"/>
        <w:spacing w:after="0" w:line="258" w:lineRule="auto"/>
        <w:rPr>
          <w:sz w:val="20"/>
          <w:szCs w:val="20"/>
          <w:color w:val="auto"/>
        </w:rPr>
      </w:pPr>
      <w:r>
        <w:rPr>
          <w:rFonts w:ascii="Times New Roman" w:cs="Times New Roman" w:eastAsia="Times New Roman" w:hAnsi="Times New Roman"/>
          <w:sz w:val="18"/>
          <w:szCs w:val="18"/>
          <w:color w:val="auto"/>
        </w:rPr>
        <w:t>During the year ended December 31, 2025, the Company entered into forbearance agreements (the “Forbearance Agreement”) with two third-party creditors related to outstanding invoices totaling approximately $3,774 (the “Overdue Amount”). Pursuant to the Forbearance Agreement, 50% of the Overdue Amount (approximately $1,887), remains due, and the remaining $1,887 becomes contingently payable based upon the completion of capital-raising transactions generating at least $45,000 and $55,000, respectively, in aggregate proceeds . If the specified financing thresholds are not achieved, the corresponding contingent payments will not become due, and the related obligations will be permanently extinguished.</w:t>
      </w:r>
    </w:p>
    <w:p>
      <w:pPr>
        <w:spacing w:after="0" w:line="183" w:lineRule="exact"/>
        <w:rPr>
          <w:sz w:val="20"/>
          <w:szCs w:val="20"/>
          <w:color w:val="auto"/>
        </w:rPr>
      </w:pPr>
    </w:p>
    <w:p>
      <w:pPr>
        <w:ind w:right="500" w:firstLine="567"/>
        <w:spacing w:after="0" w:line="266" w:lineRule="auto"/>
        <w:rPr>
          <w:sz w:val="20"/>
          <w:szCs w:val="20"/>
          <w:color w:val="auto"/>
        </w:rPr>
      </w:pPr>
      <w:r>
        <w:rPr>
          <w:rFonts w:ascii="Times New Roman" w:cs="Times New Roman" w:eastAsia="Times New Roman" w:hAnsi="Times New Roman"/>
          <w:sz w:val="18"/>
          <w:szCs w:val="18"/>
          <w:color w:val="auto"/>
        </w:rPr>
        <w:t>Pursuant to the Forbearance Agreement, the creditors have each agreed to temporarily forbear from enforcing collection of the $1,887, that is currently recorded in accounts payable during the forbearance period, and, in either case, if the specified financing thresholds are not achieved, the corresponding contingent payments will not become due, and the related obligations will be permanently extinguished.</w:t>
      </w:r>
    </w:p>
    <w:p>
      <w:pPr>
        <w:spacing w:after="0" w:line="176" w:lineRule="exact"/>
        <w:rPr>
          <w:sz w:val="20"/>
          <w:szCs w:val="20"/>
          <w:color w:val="auto"/>
        </w:rPr>
      </w:pPr>
    </w:p>
    <w:p>
      <w:pPr>
        <w:ind w:right="440" w:firstLine="486"/>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2025, the Company accounted for the $1,887 Overdue Amount that is now contingently payable as an extinguishment of debt due to management’s assessment that it is not probable that the Company reach the equity raising threshold that would require repayment of these amounts.</w:t>
      </w:r>
    </w:p>
    <w:p>
      <w:pPr>
        <w:spacing w:after="0" w:line="176" w:lineRule="exact"/>
        <w:rPr>
          <w:sz w:val="20"/>
          <w:szCs w:val="20"/>
          <w:color w:val="auto"/>
        </w:rPr>
      </w:pPr>
    </w:p>
    <w:p>
      <w:pPr>
        <w:ind w:right="60" w:firstLine="486"/>
        <w:spacing w:after="0" w:line="261" w:lineRule="auto"/>
        <w:rPr>
          <w:sz w:val="20"/>
          <w:szCs w:val="20"/>
          <w:color w:val="auto"/>
        </w:rPr>
      </w:pPr>
      <w:r>
        <w:rPr>
          <w:rFonts w:ascii="Times New Roman" w:cs="Times New Roman" w:eastAsia="Times New Roman" w:hAnsi="Times New Roman"/>
          <w:sz w:val="18"/>
          <w:szCs w:val="18"/>
          <w:color w:val="auto"/>
        </w:rPr>
        <w:t>Beginning May 1, 2025, any unpaid portion of the Obligations will accrue a late charge at a rate equal to the lesser of 0.8% per month or the maximum rate permitted by law. The forbearance period will terminate—and the Remaining Overdue Amount, together with any accrued late charges, will become immediately due and payable—upon the occurrence of certain “Forbearance Termination Events,” including specified capital-raising or asset-sale transactions, defaults, or insolvency events.</w:t>
      </w:r>
    </w:p>
    <w:p>
      <w:pPr>
        <w:spacing w:after="0" w:line="1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6. Convertible Preferred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A Convertible Preferred Stock</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March 31, 2026, the authorized, issued, and outstanding Series A Convertible Preferred Stock and their principal were as follows: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6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6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4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Preferred</w:t>
            </w:r>
          </w:p>
        </w:tc>
        <w:tc>
          <w:tcPr>
            <w:tcW w:w="134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Preferred</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0"/>
                <w:szCs w:val="10"/>
                <w:color w:val="auto"/>
              </w:rPr>
            </w:pPr>
          </w:p>
        </w:tc>
        <w:tc>
          <w:tcPr>
            <w:tcW w:w="12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Liquidation</w:t>
            </w:r>
          </w:p>
        </w:tc>
        <w:tc>
          <w:tcPr>
            <w:tcW w:w="12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15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4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3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Stock Issued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3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Issuable Upon</w:t>
            </w:r>
          </w:p>
        </w:tc>
        <w:tc>
          <w:tcPr>
            <w:tcW w:w="0" w:type="dxa"/>
            <w:vAlign w:val="bottom"/>
          </w:tcPr>
          <w:p>
            <w:pPr>
              <w:spacing w:after="0"/>
              <w:rPr>
                <w:sz w:val="1"/>
                <w:szCs w:val="1"/>
                <w:color w:val="auto"/>
              </w:rPr>
            </w:pPr>
          </w:p>
        </w:tc>
      </w:tr>
      <w:tr>
        <w:trPr>
          <w:trHeight w:val="173"/>
        </w:trPr>
        <w:tc>
          <w:tcPr>
            <w:tcW w:w="262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and Outstanding</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Pr>
          <w:p>
            <w:pPr>
              <w:spacing w:after="0"/>
              <w:rPr>
                <w:sz w:val="15"/>
                <w:szCs w:val="15"/>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Preference</w:t>
            </w:r>
          </w:p>
        </w:tc>
        <w:tc>
          <w:tcPr>
            <w:tcW w:w="13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Conversion</w:t>
            </w:r>
          </w:p>
        </w:tc>
        <w:tc>
          <w:tcPr>
            <w:tcW w:w="0" w:type="dxa"/>
            <w:vAlign w:val="bottom"/>
          </w:tcPr>
          <w:p>
            <w:pPr>
              <w:spacing w:after="0"/>
              <w:rPr>
                <w:sz w:val="1"/>
                <w:szCs w:val="1"/>
                <w:color w:val="auto"/>
              </w:rPr>
            </w:pPr>
          </w:p>
        </w:tc>
      </w:tr>
      <w:tr>
        <w:trPr>
          <w:trHeight w:val="209"/>
        </w:trPr>
        <w:tc>
          <w:tcPr>
            <w:tcW w:w="2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Preferred Stock</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0.0001</w:t>
            </w:r>
          </w:p>
        </w:tc>
        <w:tc>
          <w:tcPr>
            <w:tcW w:w="2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6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15,000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15,000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15,000,000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Each share of Series A is convertible into 1,000 shares of Common Stock of the Company at the election of the holder, subject to certain adjustments and to beneficial ownership limitations. Each share of Series A shall be entitled to vote with the Company’s Common Stock on an as-converted basis, subject to beneficial ownership limitations. All shares of capital stock of the Company, both Common Stock and any other series of preferred stock, shall be junior in rank to all shares of Series A with respect to payments upon the liquidation, dissolution, and winding up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C Convertible Preferred Stock</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March 31, 2026, the authorized, issued, and outstanding Series C Convertible Preferred Stock and their principal were as follows: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6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6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40" w:type="dxa"/>
            <w:vAlign w:val="bottom"/>
            <w:gridSpan w:val="2"/>
          </w:tcPr>
          <w:p>
            <w:pPr>
              <w:jc w:val="center"/>
              <w:ind w:right="200"/>
              <w:spacing w:after="0" w:line="118" w:lineRule="exact"/>
              <w:rPr>
                <w:sz w:val="20"/>
                <w:szCs w:val="20"/>
                <w:color w:val="auto"/>
              </w:rPr>
            </w:pPr>
            <w:r>
              <w:rPr>
                <w:rFonts w:ascii="Times New Roman" w:cs="Times New Roman" w:eastAsia="Times New Roman" w:hAnsi="Times New Roman"/>
                <w:sz w:val="13"/>
                <w:szCs w:val="13"/>
                <w:b w:val="1"/>
                <w:bCs w:val="1"/>
                <w:color w:val="auto"/>
              </w:rPr>
              <w:t>Preferred</w:t>
            </w:r>
          </w:p>
        </w:tc>
        <w:tc>
          <w:tcPr>
            <w:tcW w:w="1340" w:type="dxa"/>
            <w:vAlign w:val="bottom"/>
            <w:gridSpan w:val="2"/>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Preferred</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160" w:type="dxa"/>
            <w:vAlign w:val="bottom"/>
          </w:tcPr>
          <w:p>
            <w:pPr>
              <w:spacing w:after="0"/>
              <w:rPr>
                <w:sz w:val="10"/>
                <w:szCs w:val="10"/>
                <w:color w:val="auto"/>
              </w:rPr>
            </w:pPr>
          </w:p>
        </w:tc>
        <w:tc>
          <w:tcPr>
            <w:tcW w:w="128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Liquidation</w:t>
            </w:r>
          </w:p>
        </w:tc>
        <w:tc>
          <w:tcPr>
            <w:tcW w:w="124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1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620" w:type="dxa"/>
            <w:vAlign w:val="bottom"/>
          </w:tcPr>
          <w:p>
            <w:pPr>
              <w:spacing w:after="0"/>
              <w:rPr>
                <w:sz w:val="12"/>
                <w:szCs w:val="12"/>
                <w:color w:val="auto"/>
              </w:rPr>
            </w:pPr>
          </w:p>
        </w:tc>
        <w:tc>
          <w:tcPr>
            <w:tcW w:w="15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Par Value</w:t>
            </w:r>
          </w:p>
        </w:tc>
        <w:tc>
          <w:tcPr>
            <w:tcW w:w="144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3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Stock Issued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3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Issuable Upon</w:t>
            </w:r>
          </w:p>
        </w:tc>
        <w:tc>
          <w:tcPr>
            <w:tcW w:w="0" w:type="dxa"/>
            <w:vAlign w:val="bottom"/>
          </w:tcPr>
          <w:p>
            <w:pPr>
              <w:spacing w:after="0"/>
              <w:rPr>
                <w:sz w:val="1"/>
                <w:szCs w:val="1"/>
                <w:color w:val="auto"/>
              </w:rPr>
            </w:pPr>
          </w:p>
        </w:tc>
      </w:tr>
      <w:tr>
        <w:trPr>
          <w:trHeight w:val="173"/>
        </w:trPr>
        <w:tc>
          <w:tcPr>
            <w:tcW w:w="262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Authorized</w:t>
            </w: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and Outstanding</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160" w:type="dxa"/>
            <w:vAlign w:val="bottom"/>
          </w:tcPr>
          <w:p>
            <w:pPr>
              <w:spacing w:after="0"/>
              <w:rPr>
                <w:sz w:val="15"/>
                <w:szCs w:val="15"/>
                <w:color w:val="auto"/>
              </w:rPr>
            </w:pPr>
          </w:p>
        </w:tc>
        <w:tc>
          <w:tcPr>
            <w:tcW w:w="128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Preference</w:t>
            </w:r>
          </w:p>
        </w:tc>
        <w:tc>
          <w:tcPr>
            <w:tcW w:w="13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Conversion</w:t>
            </w:r>
          </w:p>
        </w:tc>
        <w:tc>
          <w:tcPr>
            <w:tcW w:w="0" w:type="dxa"/>
            <w:vAlign w:val="bottom"/>
          </w:tcPr>
          <w:p>
            <w:pPr>
              <w:spacing w:after="0"/>
              <w:rPr>
                <w:sz w:val="1"/>
                <w:szCs w:val="1"/>
                <w:color w:val="auto"/>
              </w:rPr>
            </w:pPr>
          </w:p>
        </w:tc>
      </w:tr>
      <w:tr>
        <w:trPr>
          <w:trHeight w:val="210"/>
        </w:trPr>
        <w:tc>
          <w:tcPr>
            <w:tcW w:w="2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C Preferred Stock</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0.0001</w:t>
            </w:r>
          </w:p>
        </w:tc>
        <w:tc>
          <w:tcPr>
            <w:tcW w:w="26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23,000</w:t>
            </w:r>
          </w:p>
        </w:tc>
        <w:tc>
          <w:tcPr>
            <w:tcW w:w="2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4,429</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11,983,000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6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23,000</w:t>
            </w: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11,983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4,429</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11,983,000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firstLine="498"/>
        <w:spacing w:after="0" w:line="258" w:lineRule="auto"/>
        <w:rPr>
          <w:sz w:val="20"/>
          <w:szCs w:val="20"/>
          <w:color w:val="auto"/>
        </w:rPr>
      </w:pPr>
      <w:r>
        <w:rPr>
          <w:rFonts w:ascii="Times New Roman" w:cs="Times New Roman" w:eastAsia="Times New Roman" w:hAnsi="Times New Roman"/>
          <w:sz w:val="18"/>
          <w:szCs w:val="18"/>
          <w:color w:val="auto"/>
        </w:rPr>
        <w:t>Each share of Series C Convertible Preferred Stock is convertible into 1,000 shares of Common Stock of the Company at the election of the holder, subject to certain adjustments and to beneficial ownership limitations. Each share of Series C Convertible Preferred Stock shall be entitled to vote with the Company’s Common Stock on an as-converted basis, subject to beneficial ownership limitations. The holders of Series C Convertible Preferred Stock shall rank pari passu with the holders of Common Stock with respect to any liquidation, dissolution or winding up of the Company. The Series C Convertible Preferred Stock are not redeemable.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Common Stock</w:t>
      </w:r>
    </w:p>
    <w:p>
      <w:pPr>
        <w:spacing w:after="0" w:line="229" w:lineRule="exact"/>
        <w:rPr>
          <w:sz w:val="20"/>
          <w:szCs w:val="20"/>
          <w:color w:val="auto"/>
        </w:rPr>
      </w:pPr>
    </w:p>
    <w:p>
      <w:pPr>
        <w:ind w:right="20" w:firstLine="486"/>
        <w:spacing w:after="0" w:line="261" w:lineRule="auto"/>
        <w:rPr>
          <w:sz w:val="20"/>
          <w:szCs w:val="20"/>
          <w:color w:val="auto"/>
        </w:rPr>
      </w:pPr>
      <w:r>
        <w:rPr>
          <w:rFonts w:ascii="Times New Roman" w:cs="Times New Roman" w:eastAsia="Times New Roman" w:hAnsi="Times New Roman"/>
          <w:sz w:val="18"/>
          <w:szCs w:val="18"/>
          <w:color w:val="auto"/>
        </w:rPr>
        <w:t>As of March 31, 2026 and December 31, 2025, the Company had authorized 600,000,000 shares of $0.0001 par value Common Stock. Each share of Common Stock entitles the holder to one vote, together with the holders of the Series A and Series C Convertible Preferred Stock (on an as-converted basis), on all matters submitted to the stockholders for a vote. The holders of Common Stock are entitled to receive dividends, if any, as declared by the Company’s Board of Directors.</w:t>
      </w:r>
    </w:p>
    <w:p>
      <w:pPr>
        <w:spacing w:after="0" w:line="180" w:lineRule="exact"/>
        <w:rPr>
          <w:sz w:val="20"/>
          <w:szCs w:val="20"/>
          <w:color w:val="auto"/>
        </w:rPr>
      </w:pPr>
    </w:p>
    <w:p>
      <w:pPr>
        <w:ind w:right="160" w:firstLine="498"/>
        <w:spacing w:after="0" w:line="258" w:lineRule="auto"/>
        <w:rPr>
          <w:sz w:val="20"/>
          <w:szCs w:val="20"/>
          <w:color w:val="auto"/>
        </w:rPr>
      </w:pPr>
      <w:r>
        <w:rPr>
          <w:rFonts w:ascii="Times New Roman" w:cs="Times New Roman" w:eastAsia="Times New Roman" w:hAnsi="Times New Roman"/>
          <w:sz w:val="18"/>
          <w:szCs w:val="18"/>
          <w:color w:val="auto"/>
        </w:rPr>
        <w:t>Under the terms of the Company’s certificate of incorporation, the Company’s Board of Directors is authorized to direct the Company, without any action or vote by its stockholders (except as may be provided by the terms of any class or series of Company preferred stock then outstanding), to issue shares of preferred stock in one or more series without the approval of the Company’s stockholders. The Company’s Board of Directors has the discretion to determine the rights, powers, preferences, privileges and restrictions, including voting rights, dividend rights, conversion rights, redemption privileges and liquidation preferences, of each series of preferred stock.</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2025 Activity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ind w:right="560" w:firstLine="498"/>
        <w:spacing w:after="0" w:line="282" w:lineRule="auto"/>
        <w:rPr>
          <w:sz w:val="20"/>
          <w:szCs w:val="20"/>
          <w:color w:val="auto"/>
        </w:rPr>
      </w:pPr>
      <w:r>
        <w:rPr>
          <w:rFonts w:ascii="Times New Roman" w:cs="Times New Roman" w:eastAsia="Times New Roman" w:hAnsi="Times New Roman"/>
          <w:sz w:val="18"/>
          <w:szCs w:val="18"/>
          <w:color w:val="auto"/>
        </w:rPr>
        <w:t>A total of 25,000 restricted stock units vested during the three months ended March 31, 2025, and the corresponding shares were issued upon vesting.</w:t>
      </w:r>
    </w:p>
    <w:p>
      <w:pPr>
        <w:spacing w:after="0" w:line="16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i w:val="1"/>
          <w:iCs w:val="1"/>
          <w:color w:val="auto"/>
        </w:rPr>
        <w:t>Unvested Shares</w:t>
      </w:r>
    </w:p>
    <w:p>
      <w:pPr>
        <w:spacing w:after="0" w:line="229" w:lineRule="exact"/>
        <w:rPr>
          <w:sz w:val="20"/>
          <w:szCs w:val="20"/>
          <w:color w:val="auto"/>
        </w:rPr>
      </w:pPr>
    </w:p>
    <w:p>
      <w:pPr>
        <w:ind w:right="200" w:firstLine="385"/>
        <w:spacing w:after="0" w:line="254" w:lineRule="auto"/>
        <w:rPr>
          <w:sz w:val="20"/>
          <w:szCs w:val="20"/>
          <w:color w:val="auto"/>
        </w:rPr>
      </w:pPr>
      <w:r>
        <w:rPr>
          <w:rFonts w:ascii="Times New Roman" w:cs="Times New Roman" w:eastAsia="Times New Roman" w:hAnsi="Times New Roman"/>
          <w:sz w:val="18"/>
          <w:szCs w:val="18"/>
          <w:color w:val="auto"/>
        </w:rPr>
        <w:t>In connection with the closing on March 28, 2024 of the business combination with Andretti Acquisition Corp. (“AAC”), 1,129,630 shares of Sponsor Shares became unvested and are subject to the forfeiture pursuant to the available cash provisions as described in the sponsor support agreement in contemplation of the Merger. All of the Unvested Shares will become vested if, within three years of the closing, the volume-weighted average price of the Company’s Common Stock equals or exceeds $12.00 per share (as adjusted for stock splits, stock dividends, reorganizations and recapitalizations) for any 20 trading days within any 30-trading day period, or if there is a change of control of the Company. If neither of these events occur within three years of the closing, then the Unvested Shares will be forfeited and shall be transferred by the sponsor and the sponsor co-investor to the Company, without any consideration for such transfer. The Unvested Shares are indexed to the Company’s own stock and are therefore classified as equity in the Company’s consolidated financial statements. No Unvested Shares vested during the three months ended March 31, 2026 or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Warrants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Warrants and Private Placement Warrants</w:t>
      </w:r>
    </w:p>
    <w:p>
      <w:pPr>
        <w:spacing w:after="0" w:line="229" w:lineRule="exact"/>
        <w:rPr>
          <w:sz w:val="20"/>
          <w:szCs w:val="20"/>
          <w:color w:val="auto"/>
        </w:rPr>
      </w:pPr>
    </w:p>
    <w:p>
      <w:pPr>
        <w:ind w:right="40" w:firstLine="498"/>
        <w:spacing w:after="0" w:line="255" w:lineRule="auto"/>
        <w:rPr>
          <w:sz w:val="20"/>
          <w:szCs w:val="20"/>
          <w:color w:val="auto"/>
        </w:rPr>
      </w:pPr>
      <w:r>
        <w:rPr>
          <w:rFonts w:ascii="Times New Roman" w:cs="Times New Roman" w:eastAsia="Times New Roman" w:hAnsi="Times New Roman"/>
          <w:sz w:val="18"/>
          <w:szCs w:val="18"/>
          <w:color w:val="auto"/>
        </w:rPr>
        <w:t>Public Warrants and Private Placement Warrants are exercisable to purchase one share of the Company’s Common Stock at $11.50 per share. Public Warrants may be redeemed, in whole and not in part, at $0.01 per warrant with 30 days’ notice if the Company’s Common Stock trades at or above $18.00 for 20 trading days out of 30 trading days. The Company may require holders to exercise Public Warrants on a cashless basis if the warrants are called for redemption. Private Placement Warrants are substantially identical to the Public Warrants except that (i) they cannot be redeemed by the Company, (ii) they are permanently exercisable on a cashless basis, and (iii) they are not transferable, assignable, or salable until 30 days after the closing date, except to permitted transferees. Private Placement Warrants also provide for an alternative issuance in the event of a tender offer or other change-of-control transaction, consistent with the warrant agreement.</w:t>
      </w:r>
    </w:p>
    <w:p>
      <w:pPr>
        <w:spacing w:after="0" w:line="189" w:lineRule="exact"/>
        <w:rPr>
          <w:sz w:val="20"/>
          <w:szCs w:val="20"/>
          <w:color w:val="auto"/>
        </w:rPr>
      </w:pPr>
    </w:p>
    <w:p>
      <w:pPr>
        <w:ind w:right="140" w:firstLine="498"/>
        <w:spacing w:after="0" w:line="266" w:lineRule="auto"/>
        <w:rPr>
          <w:sz w:val="20"/>
          <w:szCs w:val="20"/>
          <w:color w:val="auto"/>
        </w:rPr>
      </w:pPr>
      <w:r>
        <w:rPr>
          <w:rFonts w:ascii="Times New Roman" w:cs="Times New Roman" w:eastAsia="Times New Roman" w:hAnsi="Times New Roman"/>
          <w:sz w:val="18"/>
          <w:szCs w:val="18"/>
          <w:color w:val="auto"/>
        </w:rPr>
        <w:t>The Warrants expire on the fifth anniversary of the Merger or earlier upon redemption or liquidation and are exercisable commencing 30 days after the Merger, provided that the Company has an effective registration statement under the Securities Act covering the shares of the Company’s Common Stock issuable upon exercise of the Warrants and a current prospectus relating to them is available or a valid exemption is available.</w:t>
      </w:r>
    </w:p>
    <w:p>
      <w:pPr>
        <w:spacing w:after="0" w:line="176" w:lineRule="exact"/>
        <w:rPr>
          <w:sz w:val="20"/>
          <w:szCs w:val="20"/>
          <w:color w:val="auto"/>
        </w:rPr>
      </w:pPr>
    </w:p>
    <w:p>
      <w:pPr>
        <w:ind w:right="240" w:firstLine="498"/>
        <w:spacing w:after="0" w:line="261" w:lineRule="auto"/>
        <w:rPr>
          <w:sz w:val="20"/>
          <w:szCs w:val="20"/>
          <w:color w:val="auto"/>
        </w:rPr>
      </w:pPr>
      <w:r>
        <w:rPr>
          <w:rFonts w:ascii="Times New Roman" w:cs="Times New Roman" w:eastAsia="Times New Roman" w:hAnsi="Times New Roman"/>
          <w:sz w:val="18"/>
          <w:szCs w:val="18"/>
          <w:color w:val="auto"/>
        </w:rPr>
        <w:t xml:space="preserve">As of March 31, 2026 and December 31, 2025, there were 11,499,982 and 11,499,982 Public Warrants outstanding, respectively. As of March 31, 2026 and December 31, 2025, there were 55,800,000 and 55,800,000 Private Placement Warrants outstanding, respectively. The Public Warrants and Private Placement Warrants qualify for equity classification in accordance with ASC 815-40, </w:t>
      </w:r>
      <w:r>
        <w:rPr>
          <w:rFonts w:ascii="Times New Roman" w:cs="Times New Roman" w:eastAsia="Times New Roman" w:hAnsi="Times New Roman"/>
          <w:sz w:val="18"/>
          <w:szCs w:val="18"/>
          <w:i w:val="1"/>
          <w:iCs w:val="1"/>
          <w:color w:val="auto"/>
        </w:rPr>
        <w:t>Derivatives and Hedging</w:t>
      </w:r>
      <w:r>
        <w:rPr>
          <w:rFonts w:ascii="Times New Roman" w:cs="Times New Roman" w:eastAsia="Times New Roman" w:hAnsi="Times New Roman"/>
          <w:sz w:val="18"/>
          <w:szCs w:val="18"/>
          <w:color w:val="auto"/>
        </w:rPr>
        <w:t>. Accordingly, the Warrants were initially measured at fair value and recorded within equity with no subsequent measures of changes in fair value.</w:t>
      </w:r>
    </w:p>
    <w:p>
      <w:pPr>
        <w:spacing w:after="0" w:line="18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Warrant activity during the three months ended March 31, 2026 is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16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6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620" w:type="dxa"/>
            <w:vAlign w:val="bottom"/>
          </w:tcPr>
          <w:p>
            <w:pPr>
              <w:spacing w:after="0"/>
              <w:rPr>
                <w:sz w:val="15"/>
                <w:szCs w:val="15"/>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09"/>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67,299,982</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65,096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Granted</w:t>
            </w:r>
          </w:p>
        </w:tc>
        <w:tc>
          <w:tcPr>
            <w:tcW w:w="1600" w:type="dxa"/>
            <w:vAlign w:val="bottom"/>
            <w:gridSpan w:val="2"/>
          </w:tcPr>
          <w:p>
            <w:pPr>
              <w:jc w:val="right"/>
              <w:ind w:right="1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gridSpan w:val="2"/>
          </w:tcPr>
          <w:p>
            <w:pPr>
              <w:jc w:val="right"/>
              <w:ind w:right="200"/>
              <w:spacing w:after="0" w:line="243" w:lineRule="exact"/>
              <w:rPr>
                <w:sz w:val="20"/>
                <w:szCs w:val="20"/>
                <w:color w:val="auto"/>
              </w:rPr>
            </w:pPr>
            <w:r>
              <w:rPr>
                <w:rFonts w:ascii="Times New Roman" w:cs="Times New Roman" w:eastAsia="Times New Roman" w:hAnsi="Times New Roman"/>
                <w:sz w:val="22"/>
                <w:szCs w:val="22"/>
                <w:color w:val="auto"/>
              </w:rPr>
              <w:t>—</w:t>
            </w:r>
          </w:p>
        </w:tc>
        <w:tc>
          <w:tcPr>
            <w:tcW w:w="1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Exercised</w:t>
            </w:r>
          </w:p>
        </w:tc>
        <w:tc>
          <w:tcPr>
            <w:tcW w:w="1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Forfeited and expired</w:t>
            </w: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2026</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67,299,982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17,745</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Warrants vested and exercisable at March 31, 2026</w:t>
            </w: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20" w:type="dxa"/>
            <w:vAlign w:val="bottom"/>
            <w:vMerge w:val="continue"/>
          </w:tcPr>
          <w:p>
            <w:pPr>
              <w:spacing w:after="0"/>
              <w:rPr>
                <w:sz w:val="17"/>
                <w:szCs w:val="17"/>
                <w:color w:val="auto"/>
              </w:rPr>
            </w:pPr>
          </w:p>
        </w:tc>
        <w:tc>
          <w:tcPr>
            <w:tcW w:w="14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66,399,982</w:t>
            </w:r>
          </w:p>
        </w:tc>
        <w:tc>
          <w:tcPr>
            <w:tcW w:w="12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0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4.31</w:t>
            </w:r>
          </w:p>
        </w:tc>
        <w:tc>
          <w:tcPr>
            <w:tcW w:w="200" w:type="dxa"/>
            <w:vAlign w:val="bottom"/>
            <w:vMerge w:val="continue"/>
          </w:tcPr>
          <w:p>
            <w:pPr>
              <w:spacing w:after="0"/>
              <w:rPr>
                <w:sz w:val="17"/>
                <w:szCs w:val="17"/>
                <w:color w:val="auto"/>
              </w:rPr>
            </w:pPr>
          </w:p>
        </w:tc>
        <w:tc>
          <w:tcPr>
            <w:tcW w:w="14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3.72</w:t>
            </w:r>
          </w:p>
        </w:tc>
        <w:tc>
          <w:tcPr>
            <w:tcW w:w="20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17,367</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Based on a fair market value of $0.42 per share on March 31, 2026, the intrinsic value attributed to exercisable and unexercised Common Stock warrants was $17,367 at March 31, 2026.</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As of March 31, 2026, there was no unrecognized compensation cost related to unvested warrants.</w:t>
      </w:r>
    </w:p>
    <w:p>
      <w:pPr>
        <w:spacing w:after="0" w:line="2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9. Compensation Plans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w:t>
      </w:r>
    </w:p>
    <w:p>
      <w:pPr>
        <w:spacing w:after="0" w:line="22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Stock option activity during the three months ended March 31, 2026 is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8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6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16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3"/>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462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8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Term</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620" w:type="dxa"/>
            <w:vAlign w:val="bottom"/>
          </w:tcPr>
          <w:p>
            <w:pPr>
              <w:spacing w:after="0"/>
              <w:rPr>
                <w:sz w:val="15"/>
                <w:szCs w:val="15"/>
                <w:color w:val="auto"/>
              </w:rPr>
            </w:pPr>
          </w:p>
        </w:tc>
        <w:tc>
          <w:tcPr>
            <w:tcW w:w="16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(Years)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Intrinsic Value</w:t>
            </w:r>
          </w:p>
        </w:tc>
        <w:tc>
          <w:tcPr>
            <w:tcW w:w="0" w:type="dxa"/>
            <w:vAlign w:val="bottom"/>
          </w:tcPr>
          <w:p>
            <w:pPr>
              <w:spacing w:after="0"/>
              <w:rPr>
                <w:sz w:val="1"/>
                <w:szCs w:val="1"/>
                <w:color w:val="auto"/>
              </w:rPr>
            </w:pPr>
          </w:p>
        </w:tc>
      </w:tr>
      <w:tr>
        <w:trPr>
          <w:trHeight w:val="209"/>
        </w:trPr>
        <w:tc>
          <w:tcPr>
            <w:tcW w:w="46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39,003,451</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58,598</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Granted</w:t>
            </w: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650,000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0.92</w:t>
            </w:r>
          </w:p>
        </w:tc>
        <w:tc>
          <w:tcPr>
            <w:tcW w:w="14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Exercised</w:t>
            </w:r>
          </w:p>
        </w:tc>
        <w:tc>
          <w:tcPr>
            <w:tcW w:w="1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4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46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Forfeited and expired</w:t>
            </w:r>
          </w:p>
        </w:tc>
        <w:tc>
          <w:tcPr>
            <w:tcW w:w="1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4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2026</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39,653,451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13,031</w:t>
            </w: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Options vested and exercisable at March 31, 2026</w:t>
            </w: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20" w:type="dxa"/>
            <w:vAlign w:val="bottom"/>
            <w:vMerge w:val="continue"/>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2,176,432</w:t>
            </w:r>
          </w:p>
        </w:tc>
        <w:tc>
          <w:tcPr>
            <w:tcW w:w="12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0.73</w:t>
            </w:r>
          </w:p>
        </w:tc>
        <w:tc>
          <w:tcPr>
            <w:tcW w:w="200" w:type="dxa"/>
            <w:vAlign w:val="bottom"/>
            <w:vMerge w:val="continue"/>
          </w:tcPr>
          <w:p>
            <w:pPr>
              <w:spacing w:after="0"/>
              <w:rPr>
                <w:sz w:val="17"/>
                <w:szCs w:val="17"/>
                <w:color w:val="auto"/>
              </w:rPr>
            </w:pPr>
          </w:p>
        </w:tc>
        <w:tc>
          <w:tcPr>
            <w:tcW w:w="1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8.24</w:t>
            </w:r>
          </w:p>
        </w:tc>
        <w:tc>
          <w:tcPr>
            <w:tcW w:w="200" w:type="dxa"/>
            <w:vAlign w:val="bottom"/>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140" w:firstLine="324"/>
        <w:spacing w:after="0" w:line="258" w:lineRule="auto"/>
        <w:rPr>
          <w:sz w:val="20"/>
          <w:szCs w:val="20"/>
          <w:color w:val="auto"/>
        </w:rPr>
      </w:pPr>
      <w:r>
        <w:rPr>
          <w:rFonts w:ascii="Times New Roman" w:cs="Times New Roman" w:eastAsia="Times New Roman" w:hAnsi="Times New Roman"/>
          <w:sz w:val="18"/>
          <w:szCs w:val="18"/>
          <w:color w:val="auto"/>
        </w:rPr>
        <w:t>During the three months ended March 31, 2026, the Company granted options exercisable into 650,000 shares of its Common Stock to its advisors. The stock options vest over a weighted average 2.83 year period and are exercisable at a weighted average price of $0.97 per share with an average life expiration of ten years. The total fair value of these options at the grant date was approximately $577,000, which was determined using a Black-Scholes option pricing model with the following average assumption: stock price of $0.92 per share, expected term of 6.00 years, volatility of 150%, dividend rate of 0%, and weighted average risk-free interest rate of 3.74%.</w:t>
      </w:r>
    </w:p>
    <w:p>
      <w:pPr>
        <w:spacing w:after="0" w:line="183"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As of March 31, 2026, there was $1,849 of total unrecognized compensation cost related to unvested stock options. The Company expects to recognize the unrecognized compensation amount over a remaining weighted-average period of 3.26 years. The fair value of stock options that vested during the three months ended March 31, 2026 and 2025, was $238 and $44, respectively.</w:t>
      </w:r>
    </w:p>
    <w:p>
      <w:pPr>
        <w:spacing w:after="0" w:line="176"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Based on a fair market value of $0.42 per share on March 31, 2026, there was no intrinsic value attributed to exercisable and unexercised Common Stock options at March 31,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below summarizes the classification of the Company’s stock-based compensation expense related to stock options and restricted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in the consolidated statements of operations and comprehensive loss: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3140" w:type="dxa"/>
            <w:vAlign w:val="bottom"/>
            <w:tcBorders>
              <w:bottom w:val="single" w:sz="8" w:color="auto"/>
            </w:tcBorders>
            <w:gridSpan w:val="4"/>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223"/>
        </w:trPr>
        <w:tc>
          <w:tcPr>
            <w:tcW w:w="4760" w:type="dxa"/>
            <w:vAlign w:val="bottom"/>
          </w:tcPr>
          <w:p>
            <w:pPr>
              <w:spacing w:after="0"/>
              <w:rPr>
                <w:sz w:val="19"/>
                <w:szCs w:val="19"/>
                <w:color w:val="auto"/>
              </w:rPr>
            </w:pPr>
          </w:p>
        </w:tc>
        <w:tc>
          <w:tcPr>
            <w:tcW w:w="4000" w:type="dxa"/>
            <w:vAlign w:val="bottom"/>
            <w:gridSpan w:val="2"/>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2026</w:t>
            </w: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0"/>
        </w:trPr>
        <w:tc>
          <w:tcPr>
            <w:tcW w:w="47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8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ind w:right="1042"/>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80"/>
              <w:spacing w:after="0"/>
              <w:rPr>
                <w:sz w:val="20"/>
                <w:szCs w:val="20"/>
                <w:color w:val="auto"/>
              </w:rPr>
            </w:pPr>
            <w:r>
              <w:rPr>
                <w:rFonts w:ascii="Times New Roman" w:cs="Times New Roman" w:eastAsia="Times New Roman" w:hAnsi="Times New Roman"/>
                <w:sz w:val="17"/>
                <w:szCs w:val="17"/>
                <w:color w:val="auto"/>
                <w:w w:val="70"/>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476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28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w:t>
            </w:r>
          </w:p>
        </w:tc>
        <w:tc>
          <w:tcPr>
            <w:tcW w:w="1240" w:type="dxa"/>
            <w:vAlign w:val="bottom"/>
          </w:tcPr>
          <w:p>
            <w:pPr>
              <w:spacing w:after="0"/>
              <w:rPr>
                <w:sz w:val="18"/>
                <w:szCs w:val="18"/>
                <w:color w:val="auto"/>
              </w:rPr>
            </w:pP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230"/>
        </w:trPr>
        <w:tc>
          <w:tcPr>
            <w:tcW w:w="4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146</w:t>
            </w:r>
          </w:p>
        </w:tc>
        <w:tc>
          <w:tcPr>
            <w:tcW w:w="1240" w:type="dxa"/>
            <w:vAlign w:val="bottom"/>
            <w:shd w:val="clear" w:color="auto" w:fill="CCEEFF"/>
          </w:tcPr>
          <w:p>
            <w:pPr>
              <w:spacing w:after="0"/>
              <w:rPr>
                <w:sz w:val="19"/>
                <w:szCs w:val="19"/>
                <w:color w:val="auto"/>
              </w:rPr>
            </w:pPr>
          </w:p>
        </w:tc>
        <w:tc>
          <w:tcPr>
            <w:tcW w:w="4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CEEFF"/>
          </w:tcPr>
          <w:p>
            <w:pPr>
              <w:spacing w:after="0"/>
              <w:rPr>
                <w:sz w:val="19"/>
                <w:szCs w:val="19"/>
                <w:color w:val="auto"/>
              </w:rPr>
            </w:pPr>
          </w:p>
        </w:tc>
      </w:tr>
      <w:tr>
        <w:trPr>
          <w:trHeight w:val="20"/>
        </w:trPr>
        <w:tc>
          <w:tcPr>
            <w:tcW w:w="47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4760" w:type="dxa"/>
            <w:vAlign w:val="bottom"/>
          </w:tcPr>
          <w:p>
            <w:pPr>
              <w:spacing w:after="0"/>
              <w:rPr>
                <w:sz w:val="21"/>
                <w:szCs w:val="21"/>
                <w:color w:val="auto"/>
              </w:rPr>
            </w:pPr>
          </w:p>
        </w:tc>
        <w:tc>
          <w:tcPr>
            <w:tcW w:w="4000" w:type="dxa"/>
            <w:vAlign w:val="bottom"/>
            <w:gridSpan w:val="2"/>
          </w:tcPr>
          <w:p>
            <w:pPr>
              <w:jc w:val="right"/>
              <w:ind w:right="1042"/>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238</w:t>
            </w:r>
          </w:p>
        </w:tc>
        <w:tc>
          <w:tcPr>
            <w:tcW w:w="1240" w:type="dxa"/>
            <w:vAlign w:val="bottom"/>
          </w:tcPr>
          <w:p>
            <w:pPr>
              <w:jc w:val="right"/>
              <w:ind w:right="1080"/>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21"/>
                <w:szCs w:val="21"/>
                <w:color w:val="auto"/>
              </w:rPr>
            </w:pPr>
          </w:p>
        </w:tc>
      </w:tr>
      <w:tr>
        <w:trPr>
          <w:trHeight w:val="20"/>
        </w:trPr>
        <w:tc>
          <w:tcPr>
            <w:tcW w:w="47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Segment Information</w:t>
      </w:r>
    </w:p>
    <w:p>
      <w:pPr>
        <w:spacing w:after="0" w:line="256" w:lineRule="exact"/>
        <w:rPr>
          <w:sz w:val="20"/>
          <w:szCs w:val="20"/>
          <w:color w:val="auto"/>
        </w:rPr>
      </w:pPr>
    </w:p>
    <w:p>
      <w:pPr>
        <w:ind w:right="60" w:firstLine="486"/>
        <w:spacing w:after="0" w:line="253" w:lineRule="auto"/>
        <w:rPr>
          <w:sz w:val="20"/>
          <w:szCs w:val="20"/>
          <w:color w:val="auto"/>
        </w:rPr>
      </w:pPr>
      <w:r>
        <w:rPr>
          <w:rFonts w:ascii="Times New Roman" w:cs="Times New Roman" w:eastAsia="Times New Roman" w:hAnsi="Times New Roman"/>
          <w:sz w:val="18"/>
          <w:szCs w:val="18"/>
          <w:color w:val="auto"/>
        </w:rPr>
        <w:t>The Company operates and manages its business activities on a consolidated basis and operates in a single reportable and operating segment. The Company’s Chief Executive Officer, serving as the Chief Operating Decision Maker (“CODM”), oversees operations on an aggregated basis to allocate resources effectively. In assessing the Company’s financial performance, the CODM regularly reviews consolidated net income (loss). Significant expense categories are not presented, as the expense information regularly provided to the CODM is presented on the same basis as the condensed consolidated statements of operations and comprehensive loss. The CODM relies on consolidated net loss as a comprehensive measure of the Company, considering all revenues and expenses, including cost of revenue, research and development expenses, general and administrative expenses and sales and marketing expenses, to assess the Company’s overall performance and inform strategic decisions on cost control, pricing and investments. Additionally, the CODM also reviews total assets to assess the Company's financial position and resource allocation. The measure of segment assets is reported on the condensed consolidated balance sheet as total consolidated assets. The Company’s long-lived assets consist primarily of property and equipment, net. As of March 31, 2026 the Company does not have material long-term assets outside the U.S.</w:t>
      </w:r>
    </w:p>
    <w:p>
      <w:pPr>
        <w:spacing w:after="0" w:line="2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11. Net Loss per Share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per common share attributable to stockholders: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2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300" w:type="dxa"/>
            <w:vAlign w:val="bottom"/>
            <w:gridSpan w:val="5"/>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223"/>
        </w:trPr>
        <w:tc>
          <w:tcPr>
            <w:tcW w:w="6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24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1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loss attributable to common stockholders</w:t>
            </w:r>
          </w:p>
        </w:tc>
        <w:tc>
          <w:tcPr>
            <w:tcW w:w="17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(1,310)</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(770)</w:t>
            </w:r>
          </w:p>
        </w:tc>
        <w:tc>
          <w:tcPr>
            <w:tcW w:w="0" w:type="dxa"/>
            <w:vAlign w:val="bottom"/>
          </w:tcPr>
          <w:p>
            <w:pPr>
              <w:spacing w:after="0"/>
              <w:rPr>
                <w:sz w:val="1"/>
                <w:szCs w:val="1"/>
                <w:color w:val="auto"/>
              </w:rPr>
            </w:pPr>
          </w:p>
        </w:tc>
      </w:tr>
      <w:tr>
        <w:trPr>
          <w:trHeight w:val="20"/>
        </w:trPr>
        <w:tc>
          <w:tcPr>
            <w:tcW w:w="624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40" w:type="dxa"/>
            <w:vAlign w:val="bottom"/>
            <w:vMerge w:val="continue"/>
          </w:tcPr>
          <w:p>
            <w:pPr>
              <w:spacing w:after="0"/>
              <w:rPr>
                <w:sz w:val="19"/>
                <w:szCs w:val="19"/>
                <w:color w:val="auto"/>
              </w:rPr>
            </w:pPr>
          </w:p>
        </w:tc>
        <w:tc>
          <w:tcPr>
            <w:tcW w:w="13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Weighted-average common shares outstanding, basic and diluted</w:t>
            </w:r>
          </w:p>
        </w:tc>
        <w:tc>
          <w:tcPr>
            <w:tcW w:w="13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172,318,506</w:t>
            </w:r>
          </w:p>
        </w:tc>
        <w:tc>
          <w:tcPr>
            <w:tcW w:w="3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42,482,376</w:t>
            </w:r>
          </w:p>
        </w:tc>
        <w:tc>
          <w:tcPr>
            <w:tcW w:w="0" w:type="dxa"/>
            <w:vAlign w:val="bottom"/>
          </w:tcPr>
          <w:p>
            <w:pPr>
              <w:spacing w:after="0"/>
              <w:rPr>
                <w:sz w:val="1"/>
                <w:szCs w:val="1"/>
                <w:color w:val="auto"/>
              </w:rPr>
            </w:pPr>
          </w:p>
        </w:tc>
      </w:tr>
      <w:tr>
        <w:trPr>
          <w:trHeight w:val="243"/>
        </w:trPr>
        <w:tc>
          <w:tcPr>
            <w:tcW w:w="62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624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Net loss per share attributable to common stockholders,</w:t>
            </w:r>
          </w:p>
        </w:tc>
        <w:tc>
          <w:tcPr>
            <w:tcW w:w="13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basic and diluted</w:t>
            </w:r>
          </w:p>
        </w:tc>
        <w:tc>
          <w:tcPr>
            <w:tcW w:w="17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(0.01)</w:t>
            </w: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120" w:firstLine="457"/>
        <w:spacing w:after="0" w:line="282" w:lineRule="auto"/>
        <w:rPr>
          <w:sz w:val="20"/>
          <w:szCs w:val="20"/>
          <w:color w:val="auto"/>
        </w:rPr>
      </w:pPr>
      <w:r>
        <w:rPr>
          <w:rFonts w:ascii="Times New Roman" w:cs="Times New Roman" w:eastAsia="Times New Roman" w:hAnsi="Times New Roman"/>
          <w:sz w:val="18"/>
          <w:szCs w:val="18"/>
          <w:color w:val="auto"/>
        </w:rPr>
        <w:t>The Company excluded the following potential common shares, presented based on amounts outstanding at each period end, from the computation of diluted net loss per share for the periods indicated: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560" w:type="dxa"/>
            <w:vAlign w:val="bottom"/>
          </w:tcPr>
          <w:p>
            <w:pPr>
              <w:spacing w:after="0"/>
              <w:rPr>
                <w:sz w:val="15"/>
                <w:szCs w:val="15"/>
                <w:color w:val="auto"/>
              </w:rPr>
            </w:pPr>
          </w:p>
        </w:tc>
        <w:tc>
          <w:tcPr>
            <w:tcW w:w="3680" w:type="dxa"/>
            <w:vAlign w:val="bottom"/>
            <w:gridSpan w:val="5"/>
          </w:tcPr>
          <w:p>
            <w:pPr>
              <w:ind w:left="8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223"/>
        </w:trPr>
        <w:tc>
          <w:tcPr>
            <w:tcW w:w="7560" w:type="dxa"/>
            <w:vAlign w:val="bottom"/>
            <w:tcBorders>
              <w:bottom w:val="single" w:sz="8" w:color="CCEEFF"/>
            </w:tcBorders>
          </w:tcPr>
          <w:p>
            <w:pPr>
              <w:spacing w:after="0"/>
              <w:rPr>
                <w:sz w:val="19"/>
                <w:szCs w:val="19"/>
                <w:color w:val="auto"/>
              </w:rPr>
            </w:pPr>
          </w:p>
        </w:tc>
        <w:tc>
          <w:tcPr>
            <w:tcW w:w="1680" w:type="dxa"/>
            <w:vAlign w:val="bottom"/>
            <w:tcBorders>
              <w:top w:val="single" w:sz="8" w:color="auto"/>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2026</w:t>
            </w:r>
          </w:p>
        </w:tc>
        <w:tc>
          <w:tcPr>
            <w:tcW w:w="220" w:type="dxa"/>
            <w:vAlign w:val="bottom"/>
            <w:tcBorders>
              <w:top w:val="single" w:sz="8" w:color="auto"/>
              <w:bottom w:val="single" w:sz="8" w:color="CCEEFF"/>
            </w:tcBorders>
          </w:tcPr>
          <w:p>
            <w:pPr>
              <w:spacing w:after="0"/>
              <w:rPr>
                <w:sz w:val="19"/>
                <w:szCs w:val="19"/>
                <w:color w:val="auto"/>
              </w:rPr>
            </w:pPr>
          </w:p>
        </w:tc>
        <w:tc>
          <w:tcPr>
            <w:tcW w:w="1680" w:type="dxa"/>
            <w:vAlign w:val="bottom"/>
            <w:tcBorders>
              <w:top w:val="single" w:sz="8" w:color="auto"/>
              <w:bottom w:val="single" w:sz="8" w:color="auto"/>
            </w:tcBorders>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10"/>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A Preferred Stock</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15,000,000</w:t>
            </w:r>
          </w:p>
        </w:tc>
        <w:tc>
          <w:tcPr>
            <w:tcW w:w="22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shd w:val="clear" w:color="auto" w:fill="CCEEFF"/>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Series C Preferred Stock</w:t>
            </w: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11,983,000</w:t>
            </w:r>
          </w:p>
        </w:tc>
        <w:tc>
          <w:tcPr>
            <w:tcW w:w="17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Senior Secured Notes, including accrued interest</w:t>
            </w:r>
          </w:p>
        </w:tc>
        <w:tc>
          <w:tcPr>
            <w:tcW w:w="1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154,235</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272,135</w:t>
            </w:r>
          </w:p>
        </w:tc>
        <w:tc>
          <w:tcPr>
            <w:tcW w:w="80" w:type="dxa"/>
            <w:vAlign w:val="bottom"/>
            <w:shd w:val="clear" w:color="auto" w:fill="CCEEFF"/>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Convertible promissory notes</w:t>
            </w: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75,000,000</w:t>
            </w: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Warrants</w:t>
            </w:r>
          </w:p>
        </w:tc>
        <w:tc>
          <w:tcPr>
            <w:tcW w:w="1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11,499,982</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11,499,982</w:t>
            </w:r>
          </w:p>
        </w:tc>
        <w:tc>
          <w:tcPr>
            <w:tcW w:w="80" w:type="dxa"/>
            <w:vAlign w:val="bottom"/>
            <w:shd w:val="clear" w:color="auto" w:fill="CCEEFF"/>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55,800,000</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13,550,000</w:t>
            </w:r>
          </w:p>
        </w:tc>
        <w:tc>
          <w:tcPr>
            <w:tcW w:w="80" w:type="dxa"/>
            <w:vAlign w:val="bottom"/>
          </w:tcPr>
          <w:p>
            <w:pPr>
              <w:spacing w:after="0"/>
              <w:rPr>
                <w:sz w:val="18"/>
                <w:szCs w:val="18"/>
                <w:color w:val="auto"/>
              </w:rPr>
            </w:pPr>
          </w:p>
        </w:tc>
      </w:tr>
      <w:tr>
        <w:trPr>
          <w:trHeight w:val="21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Shares</w:t>
            </w:r>
          </w:p>
        </w:tc>
        <w:tc>
          <w:tcPr>
            <w:tcW w:w="1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1,129,630</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1,129,630</w:t>
            </w:r>
          </w:p>
        </w:tc>
        <w:tc>
          <w:tcPr>
            <w:tcW w:w="80" w:type="dxa"/>
            <w:vAlign w:val="bottom"/>
            <w:shd w:val="clear" w:color="auto" w:fill="CCEEFF"/>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Stock options to purchase common stock</w:t>
            </w: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39,653,451</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1,103,451</w:t>
            </w:r>
          </w:p>
        </w:tc>
        <w:tc>
          <w:tcPr>
            <w:tcW w:w="80" w:type="dxa"/>
            <w:vAlign w:val="bottom"/>
          </w:tcPr>
          <w:p>
            <w:pPr>
              <w:spacing w:after="0"/>
              <w:rPr>
                <w:sz w:val="18"/>
                <w:szCs w:val="18"/>
                <w:color w:val="auto"/>
              </w:rPr>
            </w:pPr>
          </w:p>
        </w:tc>
      </w:tr>
      <w:tr>
        <w:trPr>
          <w:trHeight w:val="229"/>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stock units</w:t>
            </w:r>
          </w:p>
        </w:tc>
        <w:tc>
          <w:tcPr>
            <w:tcW w:w="19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25,000</w:t>
            </w:r>
          </w:p>
        </w:tc>
        <w:tc>
          <w:tcPr>
            <w:tcW w:w="17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25,000</w:t>
            </w:r>
          </w:p>
        </w:tc>
        <w:tc>
          <w:tcPr>
            <w:tcW w:w="80" w:type="dxa"/>
            <w:vAlign w:val="bottom"/>
            <w:shd w:val="clear" w:color="auto" w:fill="CCEEFF"/>
          </w:tcPr>
          <w:p>
            <w:pPr>
              <w:spacing w:after="0"/>
              <w:rPr>
                <w:sz w:val="19"/>
                <w:szCs w:val="19"/>
                <w:color w:val="auto"/>
              </w:rPr>
            </w:pPr>
          </w:p>
        </w:tc>
      </w:tr>
      <w:tr>
        <w:trPr>
          <w:trHeight w:val="20"/>
        </w:trPr>
        <w:tc>
          <w:tcPr>
            <w:tcW w:w="756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50"/>
        </w:trPr>
        <w:tc>
          <w:tcPr>
            <w:tcW w:w="7560" w:type="dxa"/>
            <w:vAlign w:val="bottom"/>
          </w:tcPr>
          <w:p>
            <w:pPr>
              <w:spacing w:after="0"/>
              <w:rPr>
                <w:sz w:val="21"/>
                <w:szCs w:val="21"/>
                <w:color w:val="auto"/>
              </w:rPr>
            </w:pPr>
          </w:p>
        </w:tc>
        <w:tc>
          <w:tcPr>
            <w:tcW w:w="19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210,245,298</w:t>
            </w:r>
          </w:p>
        </w:tc>
        <w:tc>
          <w:tcPr>
            <w:tcW w:w="17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27,580,198</w:t>
            </w:r>
          </w:p>
        </w:tc>
        <w:tc>
          <w:tcPr>
            <w:tcW w:w="80" w:type="dxa"/>
            <w:vAlign w:val="bottom"/>
          </w:tcPr>
          <w:p>
            <w:pPr>
              <w:spacing w:after="0"/>
              <w:rPr>
                <w:sz w:val="21"/>
                <w:szCs w:val="21"/>
                <w:color w:val="auto"/>
              </w:rPr>
            </w:pPr>
          </w:p>
        </w:tc>
      </w:tr>
      <w:tr>
        <w:trPr>
          <w:trHeight w:val="20"/>
        </w:trPr>
        <w:tc>
          <w:tcPr>
            <w:tcW w:w="756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Subsequent Events</w:t>
      </w:r>
    </w:p>
    <w:p>
      <w:pPr>
        <w:spacing w:after="0" w:line="229" w:lineRule="exact"/>
        <w:rPr>
          <w:sz w:val="20"/>
          <w:szCs w:val="20"/>
          <w:color w:val="auto"/>
        </w:rPr>
      </w:pPr>
    </w:p>
    <w:p>
      <w:pPr>
        <w:ind w:right="700" w:firstLine="498"/>
        <w:spacing w:after="0" w:line="282" w:lineRule="auto"/>
        <w:rPr>
          <w:sz w:val="20"/>
          <w:szCs w:val="20"/>
          <w:color w:val="auto"/>
        </w:rPr>
      </w:pPr>
      <w:r>
        <w:rPr>
          <w:rFonts w:ascii="Times New Roman" w:cs="Times New Roman" w:eastAsia="Times New Roman" w:hAnsi="Times New Roman"/>
          <w:sz w:val="18"/>
          <w:szCs w:val="18"/>
          <w:color w:val="auto"/>
        </w:rPr>
        <w:t>The Company has evaluated all events subsequent to March 31, 2026 and through May 15, 2026, which represents the date these unaudited condensed consolidated financial statements were available to be issued.</w:t>
      </w:r>
    </w:p>
    <w:p>
      <w:pPr>
        <w:spacing w:after="0" w:line="162" w:lineRule="exact"/>
        <w:rPr>
          <w:sz w:val="20"/>
          <w:szCs w:val="20"/>
          <w:color w:val="auto"/>
        </w:rPr>
      </w:pPr>
    </w:p>
    <w:p>
      <w:pPr>
        <w:ind w:right="140" w:firstLine="498"/>
        <w:spacing w:after="0" w:line="261" w:lineRule="auto"/>
        <w:rPr>
          <w:sz w:val="20"/>
          <w:szCs w:val="20"/>
          <w:color w:val="auto"/>
        </w:rPr>
      </w:pPr>
      <w:r>
        <w:rPr>
          <w:rFonts w:ascii="Times New Roman" w:cs="Times New Roman" w:eastAsia="Times New Roman" w:hAnsi="Times New Roman"/>
          <w:sz w:val="18"/>
          <w:szCs w:val="18"/>
          <w:color w:val="auto"/>
        </w:rPr>
        <w:t>In April 2026, the Company sold and issued to accredited investors a total of 15,000 shares of Series D preferred shares (which are convertible into 34,160,784 shares of Common Stock, subject to adjustment) and Warrants to purchase up to 17,080,392 shares of Common Stock (representing 50% warrant coverage on an as-converted basis) for total gross proceeds of $15,000. The Company received net proceeds of $13,838 after deducting commissions and fees. The Company intends to use the net proceeds for working capital and general corporate purposes.</w:t>
      </w:r>
    </w:p>
    <w:p>
      <w:pPr>
        <w:spacing w:after="0" w:line="180" w:lineRule="exact"/>
        <w:rPr>
          <w:sz w:val="20"/>
          <w:szCs w:val="20"/>
          <w:color w:val="auto"/>
        </w:rPr>
      </w:pPr>
    </w:p>
    <w:p>
      <w:pPr>
        <w:ind w:right="40" w:firstLine="498"/>
        <w:spacing w:after="0" w:line="258" w:lineRule="auto"/>
        <w:rPr>
          <w:sz w:val="20"/>
          <w:szCs w:val="20"/>
          <w:color w:val="auto"/>
        </w:rPr>
      </w:pPr>
      <w:r>
        <w:rPr>
          <w:rFonts w:ascii="Times New Roman" w:cs="Times New Roman" w:eastAsia="Times New Roman" w:hAnsi="Times New Roman"/>
          <w:sz w:val="18"/>
          <w:szCs w:val="18"/>
          <w:color w:val="212121"/>
        </w:rPr>
        <w:t>Each share of Series D Convertible Preferred Stock is convertible into 2,278 shares of Common Stock of the Company at the election of the holder, subject to certain adjustments and to beneficial ownership limitations. Each share of Series D Convertible Preferred Stock shall be entitled to vote with the Company’s Common Stock on an as-converted basis, subject to beneficial ownership limitations. The holders of Series D Convertible Preferred Stock shall rank senior to the holders of Common Stock and all other preferred stock with respect to any liquidation, dissolution or winding up of the Company. The Series D Convertible Preferred Stock are not redeemable.</w:t>
      </w:r>
    </w:p>
    <w:p>
      <w:pPr>
        <w:spacing w:after="0" w:line="183" w:lineRule="exact"/>
        <w:rPr>
          <w:sz w:val="20"/>
          <w:szCs w:val="20"/>
          <w:color w:val="auto"/>
        </w:rPr>
      </w:pPr>
    </w:p>
    <w:p>
      <w:pPr>
        <w:ind w:right="60" w:firstLine="498"/>
        <w:spacing w:after="0" w:line="282" w:lineRule="auto"/>
        <w:rPr>
          <w:sz w:val="20"/>
          <w:szCs w:val="20"/>
          <w:color w:val="auto"/>
        </w:rPr>
      </w:pPr>
      <w:r>
        <w:rPr>
          <w:rFonts w:ascii="Times New Roman" w:cs="Times New Roman" w:eastAsia="Times New Roman" w:hAnsi="Times New Roman"/>
          <w:sz w:val="18"/>
          <w:szCs w:val="18"/>
          <w:color w:val="auto"/>
        </w:rPr>
        <w:t>In connection with the Offering, the Company paid the Placement Agents: (i) a cash fee equal to 6% of the gross proceeds received by the Company in the Offering, and (ii) issued them warrants to purchase 2% of the shares of Common Stock issuable upon conversion of the Series D.</w:t>
      </w:r>
    </w:p>
    <w:p>
      <w:pPr>
        <w:spacing w:after="0" w:line="162" w:lineRule="exact"/>
        <w:rPr>
          <w:sz w:val="20"/>
          <w:szCs w:val="20"/>
          <w:color w:val="auto"/>
        </w:rPr>
      </w:pPr>
    </w:p>
    <w:p>
      <w:pPr>
        <w:ind w:right="280" w:firstLine="498"/>
        <w:spacing w:after="0" w:line="266" w:lineRule="auto"/>
        <w:rPr>
          <w:sz w:val="20"/>
          <w:szCs w:val="20"/>
          <w:color w:val="auto"/>
        </w:rPr>
      </w:pPr>
      <w:r>
        <w:rPr>
          <w:rFonts w:ascii="Times New Roman" w:cs="Times New Roman" w:eastAsia="Times New Roman" w:hAnsi="Times New Roman"/>
          <w:sz w:val="18"/>
          <w:szCs w:val="18"/>
          <w:color w:val="auto"/>
        </w:rPr>
        <w:t>As part of the Offering, the Company entered into a Securities Purchase Agreement and Registration Rights Agreement with the investors. The terms of the Securities Purchase Agreement, Series D, Warrants, and Registration Rights Agreement were previously disclosed in the Current Report on Form 8-K filed on April 8, 2026.</w:t>
      </w:r>
    </w:p>
    <w:p>
      <w:pPr>
        <w:spacing w:after="0" w:line="176" w:lineRule="exact"/>
        <w:rPr>
          <w:sz w:val="20"/>
          <w:szCs w:val="20"/>
          <w:color w:val="auto"/>
        </w:rPr>
      </w:pPr>
    </w:p>
    <w:p>
      <w:pPr>
        <w:ind w:right="140" w:firstLine="498"/>
        <w:spacing w:after="0" w:line="258" w:lineRule="auto"/>
        <w:rPr>
          <w:sz w:val="20"/>
          <w:szCs w:val="20"/>
          <w:color w:val="auto"/>
        </w:rPr>
      </w:pPr>
      <w:r>
        <w:rPr>
          <w:rFonts w:ascii="Times New Roman" w:cs="Times New Roman" w:eastAsia="Times New Roman" w:hAnsi="Times New Roman"/>
          <w:sz w:val="18"/>
          <w:szCs w:val="18"/>
          <w:color w:val="auto"/>
        </w:rPr>
        <w:t>On May 1, 2026, the Company voluntarily filed a registration statement on Form 8-A with the Securities and Exchange Commission to register the Company’s Common Stock pursuant to Section 12(g) of the Securities Exchange Act of 1934 (the Exchange Act”) to enable the Company to become a mandatory “reporting company” subject to the Exchange Act. As a mandatory “reporting company” the Company is now required to make periodic disclosures including, by filing annual reports on Form 10-K, Quarterly Reports on Form 10-Q and must promptly disclose certain important events on a Form 8-K in addition to being subject to other Exchange Act reporting obligations including the proxy rules.</w:t>
      </w:r>
    </w:p>
    <w:p>
      <w:pPr>
        <w:spacing w:after="0" w:line="183" w:lineRule="exact"/>
        <w:rPr>
          <w:sz w:val="20"/>
          <w:szCs w:val="20"/>
          <w:color w:val="auto"/>
        </w:rPr>
      </w:pPr>
    </w:p>
    <w:p>
      <w:pPr>
        <w:ind w:right="300" w:firstLine="498"/>
        <w:spacing w:after="0" w:line="282" w:lineRule="auto"/>
        <w:rPr>
          <w:sz w:val="20"/>
          <w:szCs w:val="20"/>
          <w:color w:val="auto"/>
        </w:rPr>
      </w:pPr>
      <w:r>
        <w:rPr>
          <w:rFonts w:ascii="Times New Roman" w:cs="Times New Roman" w:eastAsia="Times New Roman" w:hAnsi="Times New Roman"/>
          <w:sz w:val="18"/>
          <w:szCs w:val="18"/>
          <w:color w:val="auto"/>
        </w:rPr>
        <w:t>On April 7, 2026, the Company issued a total of 15,000,000 shares of Common Stock pursuant to the automatic conversion of shares of Series A Convertible Preferred Stock upon completion of certain trigger events.</w:t>
      </w:r>
    </w:p>
    <w:p>
      <w:pPr>
        <w:spacing w:after="0" w:line="162"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On April 30, 2026, the Company issued 10,415 shares of the Company’s Common Stock to a consultant pursuant to a stock option exercise.</w:t>
      </w:r>
    </w:p>
    <w:p>
      <w:pPr>
        <w:spacing w:after="0" w:line="2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046"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right="80" w:firstLine="498"/>
        <w:spacing w:after="0" w:line="275"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and analysis of our financial condition and results of operations together with our unaudited consolidated financial statements and the notes thereto included elsewhere in this Quarterly Report on Form 10-Q. Some of the information contained in this discussion and analysis or set forth elsewhere in this Quarterly Report on Form 10-Q, including information with respect to our plans and strategy for our business and related financing, includes forward-looking statements that involve risks, uncertainties and assumptions. You should read the “Forward-Looking Statements” and “Risk Factors” sections of this Quarterly Report on Form 10-Q, which describe factors or events that could cause our actual results to differ materially from the results described in or implied by the forward-looking statements contained in the following discussion and analysis.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Private Securities Litigation Reform Act of 1995, including statements regarding our expectations for prospective future growth, cash flows, ability to service outstanding debt obligations, operating results, potential future trends and developments within our industry and the U.S. and global economies generally, plans and expectations for the Company, our future business plan and capital raising efforts, expectations and plans with respect to our products and services including the potential market for, timing, features, and demand for such products and services, and liquidity. Forward-looking statements are prefaced by words such as “anticipate,” “expect,” “plan,” “could,” “may,” “will,” “should,” “would,” “intend,” “seem,” “potential,” “appear,” “continue,” “future,” believe,” “estimate,” “forecast,” “project,” and similar words and expressions. We have based these forward-looking statements largely on our current expectations and assumptions regarding our business, the economy and other future conditions. Because forward-looking statements are based on current expectations and projections about future events and financial trends, they are subject to inherent uncertainties, risks and changes in circumstances that are difficult to predict. We caution you, therefore, against relying on any of these forward-looking statements.</w:t>
      </w:r>
    </w:p>
    <w:p>
      <w:pPr>
        <w:spacing w:after="0" w:line="194" w:lineRule="exact"/>
        <w:rPr>
          <w:sz w:val="20"/>
          <w:szCs w:val="20"/>
          <w:color w:val="auto"/>
        </w:rPr>
      </w:pPr>
    </w:p>
    <w:p>
      <w:pPr>
        <w:ind w:right="60" w:firstLine="648"/>
        <w:spacing w:after="0" w:line="252" w:lineRule="auto"/>
        <w:rPr>
          <w:sz w:val="20"/>
          <w:szCs w:val="20"/>
          <w:color w:val="auto"/>
        </w:rPr>
      </w:pPr>
      <w:r>
        <w:rPr>
          <w:rFonts w:ascii="Times New Roman" w:cs="Times New Roman" w:eastAsia="Times New Roman" w:hAnsi="Times New Roman"/>
          <w:sz w:val="18"/>
          <w:szCs w:val="18"/>
          <w:color w:val="auto"/>
        </w:rPr>
        <w:t>The results anticipated by any or all of these forward-looking statements might not occur. Our actual results may differ materially from those contemplated by the forward-looking statements for a variety of reasons, including, without limitation, the possibility that estimates, projections and assumptions on which the forward-looking statements are based prove to be incorrect, our ability to raise the necessary capital to re-establish material operations and generate revenue and the terms and timing of any related transactions, central bank interest rates and future interest rate changes, the risks arising from the impact of inflation, tariffs and tariff litigation, the impact of the war with Iran, the deterioration of the labor market of the United States, a recession which may result on the Company’s business, prospective customers, and on the national and global economy, our ability to attract customers to our products and services, the potential for regulatory changes impacting quantum computing, artificial intelligence, data privacy and other areas that impact the Company’s business, and the ability of us and third parties on which we depend to comply with applicable regulatory requirements, the risk that software and technology infrastructure on which we depend fail to perform as designed or intended, and the risks and uncertainties disclosed in our Form</w:t>
      </w:r>
    </w:p>
    <w:p>
      <w:pPr>
        <w:spacing w:after="0" w:line="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10-K for the year ended December 31 2025 filed with the SEC. Any forward-looking statement made by us speaks only as of the date on which it is made. Factors or events that could cause our actual results to differ may emerge from time to time, and it is not possible for us to predict all of them. We undertake no obligation to publicly update any forward-looking statement, whether as a result of new information, future developments or otherwise, except as may be required by law.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260" w:firstLine="486"/>
        <w:spacing w:after="0" w:line="258" w:lineRule="auto"/>
        <w:rPr>
          <w:sz w:val="20"/>
          <w:szCs w:val="20"/>
          <w:color w:val="auto"/>
        </w:rPr>
      </w:pPr>
      <w:r>
        <w:rPr>
          <w:rFonts w:ascii="Times New Roman" w:cs="Times New Roman" w:eastAsia="Times New Roman" w:hAnsi="Times New Roman"/>
          <w:sz w:val="18"/>
          <w:szCs w:val="18"/>
          <w:color w:val="auto"/>
        </w:rPr>
        <w:t>Zapata is a leading pure-play hardware-agnostic quantum software company. Following a strategic realignment in 2025, the Company offers subscription-based solutions to efficiently deploy and accelerate the development of quantum and hybrid quantum-classical computing applications. Founded in 2017 by researchers from a Harvard University Quantum Computing Lab, Zapata has built one of the industry’s most robust intellectual property portfolios in quantum and hybrid quantum-classical computing and algorithmic methods, with over 60 patents, granted and pending, developed over eight years.</w:t>
      </w:r>
    </w:p>
    <w:p>
      <w:pPr>
        <w:spacing w:after="0" w:line="183" w:lineRule="exact"/>
        <w:rPr>
          <w:sz w:val="20"/>
          <w:szCs w:val="20"/>
          <w:color w:val="auto"/>
        </w:rPr>
      </w:pPr>
    </w:p>
    <w:p>
      <w:pPr>
        <w:ind w:right="380" w:firstLine="486"/>
        <w:spacing w:after="0" w:line="261" w:lineRule="auto"/>
        <w:rPr>
          <w:sz w:val="20"/>
          <w:szCs w:val="20"/>
          <w:color w:val="auto"/>
        </w:rPr>
      </w:pPr>
      <w:r>
        <w:rPr>
          <w:rFonts w:ascii="Times New Roman" w:cs="Times New Roman" w:eastAsia="Times New Roman" w:hAnsi="Times New Roman"/>
          <w:sz w:val="18"/>
          <w:szCs w:val="18"/>
          <w:color w:val="auto"/>
        </w:rPr>
        <w:t>Zapata’s software platform for quantum computing applications is based on our patented technology and supports a wide range of use cases in cryptography, pharmaceuticals, manufacturing, materials discovery and defense. To the Company’s knowledge, it is the only organization to have participated across all technical areas of the Defense Advanced Research Projects Agency’s (“DARPA”)’s Quantum Benchmarking program and it has worked with Fortune 500 enterprises and government agencies to unlock the potential of quantum computing.</w:t>
      </w:r>
    </w:p>
    <w:p>
      <w:pPr>
        <w:spacing w:after="0" w:line="1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15" w:name="page16"/>
    <w:bookmarkEnd w:id="15"/>
    <w:p>
      <w:pPr>
        <w:ind w:right="60" w:firstLine="486"/>
        <w:spacing w:after="0" w:line="266" w:lineRule="auto"/>
        <w:rPr>
          <w:sz w:val="20"/>
          <w:szCs w:val="20"/>
          <w:color w:val="auto"/>
        </w:rPr>
      </w:pPr>
      <w:r>
        <w:rPr>
          <w:rFonts w:ascii="Times New Roman" w:cs="Times New Roman" w:eastAsia="Times New Roman" w:hAnsi="Times New Roman"/>
          <w:sz w:val="18"/>
          <w:szCs w:val="18"/>
          <w:color w:val="auto"/>
        </w:rPr>
        <w:t>Following a period of broader AI exploration, the Company undertook, in 2024 and 2025, a strategic realignment to refocus on its core quantum mission: developing the software and tooling layer that enables enterprises, governments, and researchers to harness quantum computing for economically meaningful outcomes.</w:t>
      </w:r>
    </w:p>
    <w:p>
      <w:pPr>
        <w:spacing w:after="0" w:line="176" w:lineRule="exact"/>
        <w:rPr>
          <w:sz w:val="20"/>
          <w:szCs w:val="20"/>
          <w:color w:val="auto"/>
        </w:rPr>
      </w:pPr>
    </w:p>
    <w:p>
      <w:pPr>
        <w:ind w:right="60" w:firstLine="486"/>
        <w:spacing w:after="0" w:line="255" w:lineRule="auto"/>
        <w:rPr>
          <w:sz w:val="20"/>
          <w:szCs w:val="20"/>
          <w:color w:val="auto"/>
        </w:rPr>
      </w:pPr>
      <w:r>
        <w:rPr>
          <w:rFonts w:ascii="Times New Roman" w:cs="Times New Roman" w:eastAsia="Times New Roman" w:hAnsi="Times New Roman"/>
          <w:sz w:val="18"/>
          <w:szCs w:val="18"/>
          <w:color w:val="auto"/>
        </w:rPr>
        <w:t>In late 2024 the Company voluntarily elected to temporarily suspend its operations due to its limited capital resources and inability to access adequate liquidity to continue to fund its operations and meet its outstanding debt obligations. In June 2025, the Company commenced debt restructuring and capital raising transactions and the reinstatement of operations by (1) entering into exchange agreements with unsecured creditors pursuant to which such creditors agreed to exchange outstanding obligations payable to them for Common Stock and certain rights related thereto, and (2) the Company sold convertible notes and warrants for gross proceeds of $3 million. The Company has since been continuing efforts to negotiate and restructure outstanding obligations and raise capital. In the furtherance of scaling operations, the Company has also entered into advisory agreements with third parties and agreed to compensate such parties in the form of equity and/or cash compensation.</w:t>
      </w:r>
    </w:p>
    <w:p>
      <w:pPr>
        <w:spacing w:after="0" w:line="189" w:lineRule="exact"/>
        <w:rPr>
          <w:sz w:val="20"/>
          <w:szCs w:val="20"/>
          <w:color w:val="auto"/>
        </w:rPr>
      </w:pPr>
    </w:p>
    <w:p>
      <w:pPr>
        <w:ind w:right="120" w:firstLine="486"/>
        <w:spacing w:after="0" w:line="261" w:lineRule="auto"/>
        <w:rPr>
          <w:sz w:val="20"/>
          <w:szCs w:val="20"/>
          <w:color w:val="auto"/>
        </w:rPr>
      </w:pPr>
      <w:r>
        <w:rPr>
          <w:rFonts w:ascii="Times New Roman" w:cs="Times New Roman" w:eastAsia="Times New Roman" w:hAnsi="Times New Roman"/>
          <w:sz w:val="18"/>
          <w:szCs w:val="18"/>
          <w:color w:val="auto"/>
        </w:rPr>
        <w:t>Zapata’s hardware-agnostic approach and proprietary technology address the “software bottleneck” that limits quantum adoption. The Company’s products - Orquestra, Bench-Q, Quantum Graph, and Quantum Pilot - provide the infrastructure and workflow tools that connect problem discovery, algorithm design, and hardware execution. These tools are supported by professional services, partnerships, and licensing programs that collectively form the Company’s business model.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ind w:right="20" w:firstLine="498"/>
        <w:spacing w:after="0" w:line="261" w:lineRule="auto"/>
        <w:rPr>
          <w:sz w:val="20"/>
          <w:szCs w:val="20"/>
          <w:color w:val="auto"/>
        </w:rPr>
      </w:pPr>
      <w:r>
        <w:rPr>
          <w:rFonts w:ascii="Times New Roman" w:cs="Times New Roman" w:eastAsia="Times New Roman" w:hAnsi="Times New Roman"/>
          <w:sz w:val="18"/>
          <w:szCs w:val="18"/>
          <w:color w:val="auto"/>
        </w:rPr>
        <w:t>In April 2026, we sold and issued to accredited investors a total of 15,000 shares of Series D (which are convertible into 34,160,784 shares of Common Stock, subject to adjustment) and Warrants to purchase up to 17,080,392 shares of Common Stock (representing 50% warrant coverage on an as-converted basis) for total gross proceeds of $15 million. We received net proceeds of $13.8 million after deducting commissions and fees. We intend to use the net proceeds for working capital and general corporate purposes.</w:t>
      </w:r>
    </w:p>
    <w:p>
      <w:pPr>
        <w:spacing w:after="0" w:line="180" w:lineRule="exact"/>
        <w:rPr>
          <w:sz w:val="20"/>
          <w:szCs w:val="20"/>
          <w:color w:val="auto"/>
        </w:rPr>
      </w:pPr>
    </w:p>
    <w:p>
      <w:pPr>
        <w:ind w:right="20" w:firstLine="498"/>
        <w:spacing w:after="0" w:line="257" w:lineRule="auto"/>
        <w:rPr>
          <w:sz w:val="20"/>
          <w:szCs w:val="20"/>
          <w:color w:val="auto"/>
        </w:rPr>
      </w:pPr>
      <w:r>
        <w:rPr>
          <w:rFonts w:ascii="Times New Roman" w:cs="Times New Roman" w:eastAsia="Times New Roman" w:hAnsi="Times New Roman"/>
          <w:sz w:val="18"/>
          <w:szCs w:val="18"/>
          <w:color w:val="auto"/>
        </w:rPr>
        <w:t>As part of the Offering, we entered into a Securities Purchase Agreement and Registration Rights Agreement with the investors. The terms of the Securities Purchase Agreement, Series D, Warrants, and Registration Rights Agreement were previously disclosed in the Current Report on Form 8-K filed on April 8, 2026.</w:t>
      </w:r>
    </w:p>
    <w:p>
      <w:pPr>
        <w:spacing w:after="0" w:line="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See “Liquidity and Capital Resources” below for additional information.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firstLine="498"/>
        <w:spacing w:after="0" w:line="258" w:lineRule="auto"/>
        <w:rPr>
          <w:sz w:val="20"/>
          <w:szCs w:val="20"/>
          <w:color w:val="auto"/>
        </w:rPr>
      </w:pPr>
      <w:r>
        <w:rPr>
          <w:rFonts w:ascii="Times New Roman" w:cs="Times New Roman" w:eastAsia="Times New Roman" w:hAnsi="Times New Roman"/>
          <w:sz w:val="18"/>
          <w:szCs w:val="18"/>
          <w:color w:val="auto"/>
        </w:rPr>
        <w:t>Our revenue historically was generated primarily from sales of subscriptions to our software platform and related services. Subscriptions to our software platform are offered as stand-ready access to our cloud environment on an annual or multi-year basis. We may also offer consulting services in the form of stand-ready scientific and software engineering services, which are typically only offered in conjunction with our software platform. We evaluate our contracts at inception to determine if the terms represent a single, combined performance obligation or multiple performance obligations. We generated no revenue in each of the three months ended March 31, 2026 and March 31, 2025.</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w:t>
      </w:r>
    </w:p>
    <w:p>
      <w:pPr>
        <w:spacing w:after="0" w:line="229" w:lineRule="exact"/>
        <w:rPr>
          <w:sz w:val="20"/>
          <w:szCs w:val="20"/>
          <w:color w:val="auto"/>
        </w:rPr>
      </w:pPr>
    </w:p>
    <w:p>
      <w:pPr>
        <w:ind w:right="180" w:firstLine="498"/>
        <w:spacing w:after="0" w:line="261" w:lineRule="auto"/>
        <w:rPr>
          <w:sz w:val="20"/>
          <w:szCs w:val="20"/>
          <w:color w:val="auto"/>
        </w:rPr>
      </w:pPr>
      <w:r>
        <w:rPr>
          <w:rFonts w:ascii="Times New Roman" w:cs="Times New Roman" w:eastAsia="Times New Roman" w:hAnsi="Times New Roman"/>
          <w:sz w:val="18"/>
          <w:szCs w:val="18"/>
          <w:color w:val="auto"/>
        </w:rPr>
        <w:t>Cost of revenue includes expenses related to supporting product offerings. Our primary cost of revenue is personnel costs, including salaries and other personnel-related expense. Cost of revenue also includes costs relating to our information technology and systems, including depreciation, network costs, data center maintenance, database management and data processing costs. We allocate these overhead expenses based on headcount and thus are reflected in cost of revenue and each operating expense category.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Sales and Marketing</w:t>
      </w:r>
    </w:p>
    <w:p>
      <w:pPr>
        <w:spacing w:after="0" w:line="229" w:lineRule="exact"/>
        <w:rPr>
          <w:sz w:val="20"/>
          <w:szCs w:val="20"/>
          <w:color w:val="auto"/>
        </w:rPr>
      </w:pPr>
    </w:p>
    <w:p>
      <w:pPr>
        <w:ind w:firstLine="498"/>
        <w:spacing w:after="0" w:line="256" w:lineRule="auto"/>
        <w:rPr>
          <w:sz w:val="20"/>
          <w:szCs w:val="20"/>
          <w:color w:val="auto"/>
        </w:rPr>
      </w:pPr>
      <w:r>
        <w:rPr>
          <w:rFonts w:ascii="Times New Roman" w:cs="Times New Roman" w:eastAsia="Times New Roman" w:hAnsi="Times New Roman"/>
          <w:sz w:val="18"/>
          <w:szCs w:val="18"/>
          <w:color w:val="auto"/>
        </w:rPr>
        <w:t>Sales and marketing expenses consist primarily of personnel-related costs, including salaries and wages, benefits, commissions, bonuses and stock-based compensation expense for our employees engaged in sales and sales support, business development, marketing, corporate partnerships, and customer service functions. Sales and marketing expenses also include costs incurred for market research, tradeshows, branding, marketing, promotional expense, and public relations, as well as facilities and other supporting overhead costs, including depreciation and amortization. Sales and marketing expenses are primarily driven by investments in the growth of our business. We expect sales and marketing expenses, expressed as a percentage of revenue, to vary from period to period for the foreseeable future.</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688" w:right="37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29" w:lineRule="exact"/>
        <w:rPr>
          <w:sz w:val="20"/>
          <w:szCs w:val="20"/>
          <w:color w:val="auto"/>
        </w:rPr>
      </w:pPr>
    </w:p>
    <w:p>
      <w:pPr>
        <w:ind w:right="20" w:firstLine="498"/>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consist primarily of personnel-related costs, including salaries and wages, benefits, bonuses, and stock-based compensation expense for our scientists, engineers and other employees engaged in the research and development of our products. In addition, research and development expenses include third party software subscription costs, facilities and other supporting overhead costs, including depreciation and amortization. Research and development costs are expensed as incurred.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right="220" w:firstLine="498"/>
        <w:spacing w:after="0" w:line="289" w:lineRule="auto"/>
        <w:rPr>
          <w:sz w:val="20"/>
          <w:szCs w:val="20"/>
          <w:color w:val="auto"/>
        </w:rPr>
      </w:pPr>
      <w:r>
        <w:rPr>
          <w:rFonts w:ascii="Times New Roman" w:cs="Times New Roman" w:eastAsia="Times New Roman" w:hAnsi="Times New Roman"/>
          <w:sz w:val="17"/>
          <w:szCs w:val="17"/>
          <w:color w:val="auto"/>
        </w:rPr>
        <w:t>General and administrative expenses consist primarily of personnel-related costs, including salaries and wages, bonuses, benefits, and stock-based compensation expense for our finance, legal, information technology, human resources, and other administrative personnel. General and administrative expenses also include facilities and supporting overhead costs, including depreciation and amortization, and external professional services.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229" w:lineRule="exact"/>
        <w:rPr>
          <w:sz w:val="20"/>
          <w:szCs w:val="20"/>
          <w:color w:val="auto"/>
        </w:rPr>
      </w:pPr>
    </w:p>
    <w:p>
      <w:pPr>
        <w:ind w:right="260" w:firstLine="498"/>
        <w:spacing w:after="0" w:line="282" w:lineRule="auto"/>
        <w:rPr>
          <w:sz w:val="20"/>
          <w:szCs w:val="20"/>
          <w:color w:val="auto"/>
        </w:rPr>
      </w:pPr>
      <w:r>
        <w:rPr>
          <w:rFonts w:ascii="Times New Roman" w:cs="Times New Roman" w:eastAsia="Times New Roman" w:hAnsi="Times New Roman"/>
          <w:sz w:val="18"/>
          <w:szCs w:val="18"/>
          <w:color w:val="auto"/>
        </w:rPr>
        <w:t>Other expense, net consists primarily of fair value adjustments related to our Senior Secured Notes and derivative contract in connection with our Forward Purchase Agreement, interest income, interest expense and foreign exchange gains and losses from our international operations.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2026 and 2025</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months ended March 31, 2026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2936875</wp:posOffset>
            </wp:positionH>
            <wp:positionV relativeFrom="paragraph">
              <wp:posOffset>180340</wp:posOffset>
            </wp:positionV>
            <wp:extent cx="19888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80" w:type="dxa"/>
            <w:vAlign w:val="bottom"/>
            <w:tcBorders>
              <w:bottom w:val="single" w:sz="8" w:color="auto"/>
            </w:tcBorders>
            <w:gridSpan w:val="4"/>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6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223"/>
        </w:trPr>
        <w:tc>
          <w:tcPr>
            <w:tcW w:w="3400" w:type="dxa"/>
            <w:vAlign w:val="bottom"/>
          </w:tcPr>
          <w:p>
            <w:pPr>
              <w:spacing w:after="0"/>
              <w:rPr>
                <w:sz w:val="19"/>
                <w:szCs w:val="19"/>
                <w:color w:val="auto"/>
              </w:rPr>
            </w:pPr>
          </w:p>
        </w:tc>
        <w:tc>
          <w:tcPr>
            <w:tcW w:w="21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1740" w:type="dxa"/>
            <w:vAlign w:val="bottom"/>
            <w:gridSpan w:val="3"/>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80" w:type="dxa"/>
            <w:vAlign w:val="bottom"/>
            <w:gridSpan w:val="2"/>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40" w:type="dxa"/>
            <w:vAlign w:val="bottom"/>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218"/>
        </w:trPr>
        <w:tc>
          <w:tcPr>
            <w:tcW w:w="34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3"/>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9"/>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Revenue</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19"/>
                <w:szCs w:val="19"/>
                <w:color w:val="auto"/>
              </w:rPr>
            </w:pPr>
          </w:p>
        </w:tc>
        <w:tc>
          <w:tcPr>
            <w:tcW w:w="1740" w:type="dxa"/>
            <w:vAlign w:val="bottom"/>
            <w:gridSpan w:val="3"/>
          </w:tcPr>
          <w:p>
            <w:pPr>
              <w:jc w:val="right"/>
              <w:ind w:right="916"/>
              <w:spacing w:after="0"/>
              <w:rPr>
                <w:sz w:val="20"/>
                <w:szCs w:val="20"/>
                <w:color w:val="auto"/>
              </w:rPr>
            </w:pPr>
            <w:r>
              <w:rPr>
                <w:rFonts w:ascii="Times New Roman" w:cs="Times New Roman" w:eastAsia="Times New Roman" w:hAnsi="Times New Roman"/>
                <w:sz w:val="18"/>
                <w:szCs w:val="18"/>
                <w:color w:val="auto"/>
              </w:rPr>
              <w:t>— $</w:t>
            </w:r>
          </w:p>
        </w:tc>
        <w:tc>
          <w:tcPr>
            <w:tcW w:w="960" w:type="dxa"/>
            <w:vAlign w:val="bottom"/>
            <w:gridSpan w:val="3"/>
          </w:tcPr>
          <w:p>
            <w:pPr>
              <w:jc w:val="right"/>
              <w:ind w:right="216"/>
              <w:spacing w:after="0"/>
              <w:rPr>
                <w:sz w:val="20"/>
                <w:szCs w:val="20"/>
                <w:color w:val="auto"/>
              </w:rPr>
            </w:pPr>
            <w:r>
              <w:rPr>
                <w:rFonts w:ascii="Times New Roman" w:cs="Times New Roman" w:eastAsia="Times New Roman" w:hAnsi="Times New Roman"/>
                <w:sz w:val="18"/>
                <w:szCs w:val="18"/>
                <w:color w:val="auto"/>
              </w:rPr>
              <w:t>— $</w:t>
            </w:r>
          </w:p>
        </w:tc>
        <w:tc>
          <w:tcPr>
            <w:tcW w:w="13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740" w:type="dxa"/>
            <w:vAlign w:val="bottom"/>
            <w:gridSpan w:val="3"/>
          </w:tcPr>
          <w:p>
            <w:pPr>
              <w:jc w:val="right"/>
              <w:ind w:right="111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3"/>
          </w:tcPr>
          <w:p>
            <w:pPr>
              <w:jc w:val="right"/>
              <w:ind w:right="416"/>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400" w:type="dxa"/>
            <w:vAlign w:val="bottom"/>
            <w:tcBorders>
              <w:top w:val="single" w:sz="8" w:color="auto"/>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Gross profit</w:t>
            </w:r>
          </w:p>
        </w:tc>
        <w:tc>
          <w:tcPr>
            <w:tcW w:w="11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gridSpan w:val="2"/>
            <w:shd w:val="clear" w:color="auto" w:fill="CCEEFF"/>
          </w:tcPr>
          <w:p>
            <w:pPr>
              <w:spacing w:after="0"/>
              <w:rPr>
                <w:sz w:val="19"/>
                <w:szCs w:val="19"/>
                <w:color w:val="auto"/>
              </w:rPr>
            </w:pPr>
          </w:p>
        </w:tc>
      </w:tr>
      <w:tr>
        <w:trPr>
          <w:trHeight w:val="23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16"/>
        </w:trPr>
        <w:tc>
          <w:tcPr>
            <w:tcW w:w="34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Sales and marketing</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173</w:t>
            </w:r>
          </w:p>
        </w:tc>
        <w:tc>
          <w:tcPr>
            <w:tcW w:w="98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16"/>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173</w:t>
            </w:r>
          </w:p>
        </w:tc>
        <w:tc>
          <w:tcPr>
            <w:tcW w:w="16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235</w:t>
            </w:r>
          </w:p>
        </w:tc>
        <w:tc>
          <w:tcPr>
            <w:tcW w:w="980" w:type="dxa"/>
            <w:vAlign w:val="bottom"/>
          </w:tcPr>
          <w:p>
            <w:pPr>
              <w:spacing w:after="0"/>
              <w:rPr>
                <w:sz w:val="18"/>
                <w:szCs w:val="18"/>
                <w:color w:val="auto"/>
              </w:rPr>
            </w:pPr>
          </w:p>
        </w:tc>
        <w:tc>
          <w:tcPr>
            <w:tcW w:w="960" w:type="dxa"/>
            <w:vAlign w:val="bottom"/>
            <w:gridSpan w:val="3"/>
          </w:tcPr>
          <w:p>
            <w:pPr>
              <w:jc w:val="right"/>
              <w:ind w:right="416"/>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235</w:t>
            </w:r>
          </w:p>
        </w:tc>
        <w:tc>
          <w:tcPr>
            <w:tcW w:w="16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34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7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789</w:t>
            </w:r>
          </w:p>
        </w:tc>
        <w:tc>
          <w:tcPr>
            <w:tcW w:w="9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680</w:t>
            </w:r>
          </w:p>
        </w:tc>
        <w:tc>
          <w:tcPr>
            <w:tcW w:w="28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109</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shd w:val="clear" w:color="auto" w:fill="CCEEFF"/>
          </w:tcPr>
          <w:p>
            <w:pPr>
              <w:spacing w:after="0"/>
              <w:rPr>
                <w:sz w:val="19"/>
                <w:szCs w:val="19"/>
                <w:color w:val="auto"/>
              </w:rPr>
            </w:pPr>
          </w:p>
        </w:tc>
      </w:tr>
      <w:tr>
        <w:trPr>
          <w:trHeight w:val="210"/>
        </w:trPr>
        <w:tc>
          <w:tcPr>
            <w:tcW w:w="340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22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2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220" w:type="dxa"/>
            <w:vAlign w:val="bottom"/>
            <w:tcBorders>
              <w:bottom w:val="single" w:sz="8" w:color="CCEEFF"/>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60" w:type="dxa"/>
            <w:vAlign w:val="bottom"/>
            <w:tcBorders>
              <w:bottom w:val="single" w:sz="8" w:color="CCEEFF"/>
            </w:tcBorders>
            <w:gridSpan w:val="2"/>
          </w:tcPr>
          <w:p>
            <w:pPr>
              <w:spacing w:after="0"/>
              <w:rPr>
                <w:sz w:val="18"/>
                <w:szCs w:val="18"/>
                <w:color w:val="auto"/>
              </w:rPr>
            </w:pPr>
          </w:p>
        </w:tc>
      </w:tr>
      <w:tr>
        <w:trPr>
          <w:trHeight w:val="209"/>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2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r>
      <w:tr>
        <w:trPr>
          <w:trHeight w:val="237"/>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16"/>
        </w:trPr>
        <w:tc>
          <w:tcPr>
            <w:tcW w:w="34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Interest expense</w:t>
            </w: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(132)</w:t>
            </w:r>
          </w:p>
        </w:tc>
        <w:tc>
          <w:tcPr>
            <w:tcW w:w="9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(102)</w:t>
            </w: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(30)</w:t>
            </w:r>
          </w:p>
        </w:tc>
        <w:tc>
          <w:tcPr>
            <w:tcW w:w="1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40" w:type="dxa"/>
            <w:vAlign w:val="bottom"/>
            <w:shd w:val="clear" w:color="auto" w:fill="CCEEFF"/>
          </w:tcPr>
          <w:p>
            <w:pPr>
              <w:spacing w:after="0"/>
              <w:rPr>
                <w:sz w:val="18"/>
                <w:szCs w:val="18"/>
                <w:color w:val="auto"/>
              </w:rPr>
            </w:pPr>
          </w:p>
        </w:tc>
      </w:tr>
      <w:tr>
        <w:trPr>
          <w:trHeight w:val="230"/>
        </w:trPr>
        <w:tc>
          <w:tcPr>
            <w:tcW w:w="34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 (expense) income, net</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19</w:t>
            </w:r>
          </w:p>
        </w:tc>
        <w:tc>
          <w:tcPr>
            <w:tcW w:w="980" w:type="dxa"/>
            <w:vAlign w:val="bottom"/>
          </w:tcPr>
          <w:p>
            <w:pPr>
              <w:spacing w:after="0"/>
              <w:rPr>
                <w:sz w:val="19"/>
                <w:szCs w:val="19"/>
                <w:color w:val="auto"/>
              </w:rPr>
            </w:pPr>
          </w:p>
        </w:tc>
        <w:tc>
          <w:tcPr>
            <w:tcW w:w="6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Pr>
          <w:p>
            <w:pPr>
              <w:spacing w:after="0"/>
              <w:rPr>
                <w:sz w:val="19"/>
                <w:szCs w:val="19"/>
                <w:color w:val="auto"/>
              </w:rPr>
            </w:pPr>
          </w:p>
        </w:tc>
        <w:tc>
          <w:tcPr>
            <w:tcW w:w="13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7</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40" w:type="dxa"/>
            <w:vAlign w:val="bottom"/>
          </w:tcPr>
          <w:p>
            <w:pPr>
              <w:spacing w:after="0"/>
              <w:rPr>
                <w:sz w:val="19"/>
                <w:szCs w:val="19"/>
                <w:color w:val="auto"/>
              </w:rPr>
            </w:pPr>
          </w:p>
        </w:tc>
      </w:tr>
      <w:tr>
        <w:trPr>
          <w:trHeight w:val="210"/>
        </w:trPr>
        <w:tc>
          <w:tcPr>
            <w:tcW w:w="3400" w:type="dxa"/>
            <w:vAlign w:val="bottom"/>
            <w:tcBorders>
              <w:top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other expense, net</w:t>
            </w:r>
          </w:p>
        </w:tc>
        <w:tc>
          <w:tcPr>
            <w:tcW w:w="1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r>
      <w:tr>
        <w:trPr>
          <w:trHeight w:val="223"/>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ind w:right="75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ind w:right="816"/>
              <w:spacing w:after="0"/>
              <w:rPr>
                <w:sz w:val="20"/>
                <w:szCs w:val="20"/>
                <w:color w:val="auto"/>
              </w:rPr>
            </w:pPr>
            <w:r>
              <w:rPr>
                <w:rFonts w:ascii="Times New Roman" w:cs="Times New Roman" w:eastAsia="Times New Roman" w:hAnsi="Times New Roman"/>
                <w:sz w:val="17"/>
                <w:szCs w:val="17"/>
                <w:color w:val="auto"/>
                <w:w w:val="70"/>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6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34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227" w:lineRule="exact"/>
        <w:rPr>
          <w:sz w:val="20"/>
          <w:szCs w:val="20"/>
          <w:color w:val="auto"/>
        </w:rPr>
      </w:pPr>
    </w:p>
    <w:p>
      <w:pPr>
        <w:ind w:right="180" w:firstLine="498"/>
        <w:spacing w:after="0" w:line="282" w:lineRule="auto"/>
        <w:rPr>
          <w:sz w:val="20"/>
          <w:szCs w:val="20"/>
          <w:color w:val="auto"/>
        </w:rPr>
      </w:pPr>
      <w:r>
        <w:rPr>
          <w:rFonts w:ascii="Times New Roman" w:cs="Times New Roman" w:eastAsia="Times New Roman" w:hAnsi="Times New Roman"/>
          <w:sz w:val="18"/>
          <w:szCs w:val="18"/>
          <w:color w:val="auto"/>
        </w:rPr>
        <w:t>Sales and marketing expense was $173 thousand for the three months ended March 31, 2026, as compared to $0 for the three months ended March 31, 2025. The increase reflects an increase in employee compensation costs, marketing expenses, and stock-based compensation expense.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right="380" w:firstLine="324"/>
        <w:spacing w:after="0" w:line="282" w:lineRule="auto"/>
        <w:rPr>
          <w:sz w:val="20"/>
          <w:szCs w:val="20"/>
          <w:color w:val="auto"/>
        </w:rPr>
      </w:pPr>
      <w:r>
        <w:rPr>
          <w:rFonts w:ascii="Times New Roman" w:cs="Times New Roman" w:eastAsia="Times New Roman" w:hAnsi="Times New Roman"/>
          <w:sz w:val="18"/>
          <w:szCs w:val="18"/>
          <w:color w:val="auto"/>
        </w:rPr>
        <w:t>Research and development expense was $235 thousand for the three months ended March 31, 2026, as compared to $0 for the three months ended March 31, 2025. The increase reflects an increase in employee compensation costs, advisor fees, and stock-based compensation expense.</w:t>
      </w:r>
    </w:p>
    <w:p>
      <w:pPr>
        <w:spacing w:after="0" w:line="16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firstLine="498"/>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$789 thousand for the three months ended March 31, 2026, compared to $680 thousand for the three months ended March 31, 2025. The increase of $109 thousand reflects an increase in stock-based compensation expenses. Current-quarter expenses mainly consisted of insurance, software costs, salaries and benefits, and legal and professional fees, including $126 thousand of legal expenses related to our intellectual property.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Other expense, net was $113 thousand for the three months ended March 31, 2026, compared to $90 thousand for the three months ended March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was no provision for income taxes during each of the three months ended March 31, 2026 and March 31,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Since our inception, we have financed our operations primarily with proceeds from sales of Convertible Preferred Stock and Common Stock and the issuance of Convertible Notes. For the three months ended March 31, 2026, we recorded a net loss of $1,310, used cash in operations of $999 and had a stockholders’ deficit of $9,357 as of that date. As of March 31, 2026, we had a cash balance of $642. Cash used in operations was primarily from the Company’s operating losses, working capital, and investment in strategic growth initiatives. We have incurred significant losses and negative cash flows from operations since inception and expects to continue to incur losses and negative cash flows for the foreseeable future as we expand our penetration of the quantum computing application development market.</w:t>
      </w:r>
    </w:p>
    <w:p>
      <w:pPr>
        <w:spacing w:after="0" w:line="187" w:lineRule="exact"/>
        <w:rPr>
          <w:sz w:val="20"/>
          <w:szCs w:val="20"/>
          <w:color w:val="auto"/>
        </w:rPr>
      </w:pPr>
    </w:p>
    <w:p>
      <w:pPr>
        <w:ind w:right="40" w:firstLine="498"/>
        <w:spacing w:after="0" w:line="261" w:lineRule="auto"/>
        <w:rPr>
          <w:sz w:val="20"/>
          <w:szCs w:val="20"/>
          <w:color w:val="auto"/>
        </w:rPr>
      </w:pPr>
      <w:r>
        <w:rPr>
          <w:rFonts w:ascii="Times New Roman" w:cs="Times New Roman" w:eastAsia="Times New Roman" w:hAnsi="Times New Roman"/>
          <w:sz w:val="18"/>
          <w:szCs w:val="18"/>
          <w:color w:val="auto"/>
        </w:rPr>
        <w:t>In April 2026, we sold and issued to accredited investors a total of 15,000 shares of Series D (which are convertible into 34,160,784 shares of Common Stock, subject to adjustment) and Warrants to purchase up to 17,080,392 shares of Common Stock (representing 50% warrant coverage on an as-converted basis) for total gross proceeds of $15 million. We received net proceeds of $13.8 million after deducting commissions and fees. We intend to use the net proceeds for working capital and general corporate purposes.</w:t>
      </w:r>
    </w:p>
    <w:p>
      <w:pPr>
        <w:spacing w:after="0" w:line="180" w:lineRule="exact"/>
        <w:rPr>
          <w:sz w:val="20"/>
          <w:szCs w:val="20"/>
          <w:color w:val="auto"/>
        </w:rPr>
      </w:pPr>
    </w:p>
    <w:p>
      <w:pPr>
        <w:ind w:right="580" w:firstLine="498"/>
        <w:spacing w:after="0" w:line="261" w:lineRule="auto"/>
        <w:rPr>
          <w:sz w:val="20"/>
          <w:szCs w:val="20"/>
          <w:color w:val="auto"/>
        </w:rPr>
      </w:pPr>
      <w:r>
        <w:rPr>
          <w:rFonts w:ascii="Times New Roman" w:cs="Times New Roman" w:eastAsia="Times New Roman" w:hAnsi="Times New Roman"/>
          <w:sz w:val="18"/>
          <w:szCs w:val="18"/>
          <w:color w:val="auto"/>
        </w:rPr>
        <w:t>We expect our existing cash will be sufficient to fund our current operating plan for at least twelve months from the date of issuance of these financial statements.</w:t>
      </w: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Secured Notes</w:t>
      </w:r>
    </w:p>
    <w:p>
      <w:pPr>
        <w:spacing w:after="0" w:line="207" w:lineRule="exact"/>
        <w:rPr>
          <w:sz w:val="20"/>
          <w:szCs w:val="20"/>
          <w:color w:val="auto"/>
        </w:rPr>
      </w:pPr>
    </w:p>
    <w:p>
      <w:pPr>
        <w:ind w:right="120" w:firstLine="498"/>
        <w:spacing w:after="0" w:line="254" w:lineRule="auto"/>
        <w:rPr>
          <w:sz w:val="20"/>
          <w:szCs w:val="20"/>
          <w:color w:val="auto"/>
        </w:rPr>
      </w:pPr>
      <w:r>
        <w:rPr>
          <w:rFonts w:ascii="Times New Roman" w:cs="Times New Roman" w:eastAsia="Times New Roman" w:hAnsi="Times New Roman"/>
          <w:sz w:val="18"/>
          <w:szCs w:val="18"/>
          <w:color w:val="auto"/>
        </w:rPr>
        <w:t>The Senior Secured Notes bear interest at the compound rate of 15% per annum and are convertible at the option of each noteholder in connection with the Merger at a conversion price of (i) $4.50 per share at the closing of the Merger or (ii) $8.50 per share at any time after the closing of the Merger. The outstanding principal amount of the Senior Secured Notes and all accrued but unpaid interest will be due and payable at the maturity date, December 15, 2026, unless otherwise converted. Upon the closing of the Merger, a portion of the aggregate outstanding Senior Secured Notes with an aggregate principal amount of $14.2 million and associated accrued interest of $0.5 million were converted into shares of our Common Stock. While any Senior Secured Notes are outstanding, we cannot incur additional indebtedness for borrowed funds, except additional Senior Secured Notes, substantially similar notes or other debt instruments that are pari passu with or subordinate to the Senior Secured Notes. As of March 31, 2026, the aggregate principal and accrued interest outstanding under the Senior Secured Notes totaled $1.3 million.</w:t>
      </w:r>
    </w:p>
    <w:p>
      <w:pPr>
        <w:spacing w:after="0" w:line="192" w:lineRule="exact"/>
        <w:rPr>
          <w:sz w:val="20"/>
          <w:szCs w:val="20"/>
          <w:color w:val="auto"/>
        </w:rPr>
      </w:pPr>
    </w:p>
    <w:p>
      <w:pPr>
        <w:ind w:right="180" w:firstLine="498"/>
        <w:spacing w:after="0" w:line="258" w:lineRule="auto"/>
        <w:rPr>
          <w:sz w:val="20"/>
          <w:szCs w:val="20"/>
          <w:color w:val="auto"/>
        </w:rPr>
      </w:pPr>
      <w:r>
        <w:rPr>
          <w:rFonts w:ascii="Times New Roman" w:cs="Times New Roman" w:eastAsia="Times New Roman" w:hAnsi="Times New Roman"/>
          <w:sz w:val="18"/>
          <w:szCs w:val="18"/>
          <w:color w:val="auto"/>
        </w:rPr>
        <w:t>In June 2025, we entered into a securities purchase agreement with accredited investors pursuant to which we sold and issued secured Convertible Promissory Notes and warrants to purchase 37,500,000 shares of Common Stock (“Warrants”) for total gross proceeds of $3 million. The Convertible Promissory Notes bear simple interest at a rate of 10.00% per annum and mature in June 2026, unless earlier converted or repaid in accordance with its terms. Interest accrues daily based on a 360-day year and will not be paid in cash prior to maturity unless the Convertible Promissory Notes are repaid before conversion.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Promissory Notes</w:t>
      </w:r>
    </w:p>
    <w:p>
      <w:pPr>
        <w:spacing w:after="0" w:line="229" w:lineRule="exact"/>
        <w:rPr>
          <w:sz w:val="20"/>
          <w:szCs w:val="20"/>
          <w:color w:val="auto"/>
        </w:rPr>
      </w:pPr>
    </w:p>
    <w:p>
      <w:pPr>
        <w:ind w:right="180" w:firstLine="498"/>
        <w:spacing w:after="0" w:line="258" w:lineRule="auto"/>
        <w:rPr>
          <w:sz w:val="20"/>
          <w:szCs w:val="20"/>
          <w:color w:val="auto"/>
        </w:rPr>
      </w:pPr>
      <w:r>
        <w:rPr>
          <w:rFonts w:ascii="Times New Roman" w:cs="Times New Roman" w:eastAsia="Times New Roman" w:hAnsi="Times New Roman"/>
          <w:sz w:val="18"/>
          <w:szCs w:val="18"/>
          <w:color w:val="auto"/>
        </w:rPr>
        <w:t>In June 2025, we entered into a securities purchase agreement with accredited investors pursuant to which we sold and issued secured Convertible Promissory Notes and warrants to purchase 37,500,000 shares of Common Stock (“Warrants”) for total gross proceeds of $3 million. The Convertible Promissory Notes bear simple interest at a rate of 10.00% per annum and mature in June 2026, unless earlier converted or repaid in accordance with its terms. Interest accrues daily based on a 360-day year and will not be paid in cash prior to maturity unless the Convertible Promissory Notes are repaid before conversion.</w:t>
      </w:r>
    </w:p>
    <w:p>
      <w:pPr>
        <w:spacing w:after="0" w:line="183" w:lineRule="exact"/>
        <w:rPr>
          <w:sz w:val="20"/>
          <w:szCs w:val="20"/>
          <w:color w:val="auto"/>
        </w:rPr>
      </w:pPr>
    </w:p>
    <w:p>
      <w:pPr>
        <w:jc w:val="both"/>
        <w:ind w:right="420" w:firstLine="498"/>
        <w:spacing w:after="0" w:line="261" w:lineRule="auto"/>
        <w:rPr>
          <w:sz w:val="20"/>
          <w:szCs w:val="20"/>
          <w:color w:val="auto"/>
        </w:rPr>
      </w:pPr>
      <w:r>
        <w:rPr>
          <w:rFonts w:ascii="Times New Roman" w:cs="Times New Roman" w:eastAsia="Times New Roman" w:hAnsi="Times New Roman"/>
          <w:sz w:val="18"/>
          <w:szCs w:val="18"/>
          <w:color w:val="auto"/>
        </w:rPr>
        <w:t>The Convertible Promissory Notes are convertible into 75,000,000 shares of our Common Stock at the option of the holder at any time prior to repayment. The conversion price is $0.04 per share, subject to customary anti-dilution adjustments for stock splits, stock dividends, combinations, or recapitalizations. Upon conversion, any unpaid accrued interest is automatically forgiven. As of March 31, 2026, the aggregate principal and accrued interest outstanding under the Convertible Promissory Notes totaled $3.1 million.</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470" w:right="3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following table summarizes our sources and uses of cash for each of the periods presented:</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22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3100" w:type="dxa"/>
            <w:vAlign w:val="bottom"/>
            <w:tcBorders>
              <w:bottom w:val="single" w:sz="8" w:color="auto"/>
            </w:tcBorders>
            <w:gridSpan w:val="4"/>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4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23"/>
        </w:trPr>
        <w:tc>
          <w:tcPr>
            <w:tcW w:w="5220" w:type="dxa"/>
            <w:vAlign w:val="bottom"/>
          </w:tcPr>
          <w:p>
            <w:pPr>
              <w:spacing w:after="0"/>
              <w:rPr>
                <w:sz w:val="19"/>
                <w:szCs w:val="19"/>
                <w:color w:val="auto"/>
              </w:rPr>
            </w:pPr>
          </w:p>
        </w:tc>
        <w:tc>
          <w:tcPr>
            <w:tcW w:w="3440" w:type="dxa"/>
            <w:vAlign w:val="bottom"/>
            <w:gridSpan w:val="2"/>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2026</w:t>
            </w: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22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2000" w:type="dxa"/>
            <w:vAlign w:val="bottom"/>
            <w:tcBorders>
              <w:top w:val="single" w:sz="8" w:color="auto"/>
            </w:tcBorders>
            <w:gridSpan w:val="3"/>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440" w:type="dxa"/>
            <w:vAlign w:val="bottom"/>
            <w:gridSpan w:val="2"/>
            <w:shd w:val="clear" w:color="auto" w:fill="CCEEFF"/>
          </w:tcPr>
          <w:p>
            <w:pPr>
              <w:jc w:val="right"/>
              <w:ind w:right="94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(999)</w:t>
            </w:r>
          </w:p>
        </w:tc>
        <w:tc>
          <w:tcPr>
            <w:tcW w:w="1200" w:type="dxa"/>
            <w:vAlign w:val="bottom"/>
            <w:shd w:val="clear" w:color="auto" w:fill="CCEEFF"/>
          </w:tcPr>
          <w:p>
            <w:pPr>
              <w:jc w:val="right"/>
              <w:ind w:right="1040"/>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29"/>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2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(18)</w:t>
            </w:r>
          </w:p>
        </w:tc>
        <w:tc>
          <w:tcPr>
            <w:tcW w:w="1200" w:type="dxa"/>
            <w:vAlign w:val="bottom"/>
          </w:tcPr>
          <w:p>
            <w:pPr>
              <w:spacing w:after="0"/>
              <w:rPr>
                <w:sz w:val="19"/>
                <w:szCs w:val="19"/>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522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decrease in cash</w:t>
            </w:r>
          </w:p>
        </w:tc>
        <w:tc>
          <w:tcPr>
            <w:tcW w:w="234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ind w:right="942"/>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top w:val="single" w:sz="8" w:color="auto"/>
              <w:bottom w:val="single" w:sz="8" w:color="auto"/>
            </w:tcBorders>
            <w:shd w:val="clear" w:color="auto" w:fill="CCEEFF"/>
          </w:tcPr>
          <w:p>
            <w:pPr>
              <w:jc w:val="right"/>
              <w:ind w:right="1040"/>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52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ind w:right="120" w:firstLine="498"/>
        <w:spacing w:after="0" w:line="258" w:lineRule="auto"/>
        <w:rPr>
          <w:sz w:val="20"/>
          <w:szCs w:val="20"/>
          <w:color w:val="auto"/>
        </w:rPr>
      </w:pPr>
      <w:r>
        <w:rPr>
          <w:rFonts w:ascii="Times New Roman" w:cs="Times New Roman" w:eastAsia="Times New Roman" w:hAnsi="Times New Roman"/>
          <w:sz w:val="18"/>
          <w:szCs w:val="18"/>
          <w:color w:val="auto"/>
        </w:rPr>
        <w:t>Net cash used in operating activities was $1.0 million for the three months ended March 31, 2025. Operating cash flows reflected a net loss of $1.3 million, partially offset by $370 thousand in non-cash charges. Non-cash charges included $132 thousand in non-cash interest expense, and $238 thousand in stock-based compensation. Changes in working capital was driven by a $51 thousand decrease in prepaid expenses and other current and non-current assets, a $106 thousand increase in accounts payable, and a decrease of $217 thousand in accrued expenses and other current liabilities and other non-current liabilities,</w:t>
      </w:r>
    </w:p>
    <w:p>
      <w:pPr>
        <w:spacing w:after="0" w:line="183" w:lineRule="exact"/>
        <w:rPr>
          <w:sz w:val="20"/>
          <w:szCs w:val="20"/>
          <w:color w:val="auto"/>
        </w:rPr>
      </w:pPr>
    </w:p>
    <w:p>
      <w:pPr>
        <w:ind w:right="80" w:firstLine="498"/>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$59 thousand for the three months ended March 31, 2025. Operating cash flows reflected a net loss of $0.8 million, partially offset by $569 thousand in non-cash charges and a $142 thousand net change in working capital. Non-cash charges included $525 thousand in non-cash interest expense, and $44 thousand in stock-based compensation. Changes in working capital was driven by a $48 thousand increase in accounts payable and a $94 thousand decrease in prepaid expenses and other current and non-current assets.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were no cash flows from investing activities during each of the three months ended March 31, 2026 and March 31, 2025.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There were no cash flows from financing activities during each of the three months ended March 31, 2026 and March 31,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Financing Arrangements</w:t>
      </w:r>
    </w:p>
    <w:p>
      <w:pPr>
        <w:spacing w:after="0" w:line="229" w:lineRule="exact"/>
        <w:rPr>
          <w:sz w:val="20"/>
          <w:szCs w:val="20"/>
          <w:color w:val="auto"/>
        </w:rPr>
      </w:pPr>
    </w:p>
    <w:p>
      <w:pPr>
        <w:ind w:right="340" w:firstLine="498"/>
        <w:spacing w:after="0" w:line="266" w:lineRule="auto"/>
        <w:rPr>
          <w:sz w:val="20"/>
          <w:szCs w:val="20"/>
          <w:color w:val="auto"/>
        </w:rPr>
      </w:pPr>
      <w:r>
        <w:rPr>
          <w:rFonts w:ascii="Times New Roman" w:cs="Times New Roman" w:eastAsia="Times New Roman" w:hAnsi="Times New Roman"/>
          <w:sz w:val="18"/>
          <w:szCs w:val="18"/>
          <w:color w:val="auto"/>
        </w:rPr>
        <w:t>We have no obligations, assets or liabilities which would be considered off-balance sheet arrangements during the periods presented. Zapata and Legacy Zapata have not entered into any off-balance sheet financing agreements, established any special purpose entities, guaranteed any debt or commitments of other entities, or purchased any non-financial assets.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256" w:lineRule="exact"/>
        <w:rPr>
          <w:sz w:val="20"/>
          <w:szCs w:val="20"/>
          <w:color w:val="auto"/>
        </w:rPr>
      </w:pPr>
    </w:p>
    <w:p>
      <w:pPr>
        <w:ind w:right="220" w:firstLine="498"/>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to our critical accounting policies from those disclosed in the “Management's Discussion and Analysis of Financial Condition and Results of Operations—Critical Accounting Policies and Significant Judgments and Estimates” section of our Annual Report on Form 10-K for the year ended December 31,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Pronouncements</w:t>
      </w:r>
    </w:p>
    <w:p>
      <w:pPr>
        <w:spacing w:after="0" w:line="229" w:lineRule="exact"/>
        <w:rPr>
          <w:sz w:val="20"/>
          <w:szCs w:val="20"/>
          <w:color w:val="auto"/>
        </w:rPr>
      </w:pPr>
    </w:p>
    <w:p>
      <w:pPr>
        <w:ind w:right="80" w:firstLine="498"/>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and results of operations is disclosed in Note 2 to our condensed consolidated financial statements, which are included elsewhere in this Report.</w:t>
      </w:r>
    </w:p>
    <w:p>
      <w:pPr>
        <w:spacing w:after="0" w:line="16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Emerging Growth Company Status</w:t>
      </w:r>
    </w:p>
    <w:p>
      <w:pPr>
        <w:spacing w:after="0" w:line="229" w:lineRule="exact"/>
        <w:rPr>
          <w:sz w:val="20"/>
          <w:szCs w:val="20"/>
          <w:color w:val="auto"/>
        </w:rPr>
      </w:pPr>
    </w:p>
    <w:p>
      <w:pPr>
        <w:ind w:right="40" w:firstLine="498"/>
        <w:spacing w:after="0" w:line="271" w:lineRule="auto"/>
        <w:rPr>
          <w:sz w:val="20"/>
          <w:szCs w:val="20"/>
          <w:color w:val="auto"/>
        </w:rPr>
      </w:pPr>
      <w:r>
        <w:rPr>
          <w:rFonts w:ascii="Times New Roman" w:cs="Times New Roman" w:eastAsia="Times New Roman" w:hAnsi="Times New Roman"/>
          <w:sz w:val="17"/>
          <w:szCs w:val="17"/>
          <w:color w:val="auto"/>
        </w:rPr>
        <w:t>Zapata Quantum Inc. qualifies as an “emerging growth company,” as defined in the Jumpstart Our Business Startups Act of 2012 (the “JOBS Act”). Pursuant to the JOBS Act, an emerging growth company is provided the option to adopt new or revised accounting standards that may be issued by Financial Accounting Standards Board (“FASB”) or the SEC either (i) within the same periods as those otherwise applicable to non-emerging growth companies or (ii) within the same time periods as private companies. We intend to utilize the exemption for complying with new or revised accounting standards within the same time periods as private companies. Accordingly, the information contained herein may be different than the information you receive from other public companies. We also intend to utilize some of the reduced regulatory and reporting requirements applicable to emerging growth companies pursuant to the JOBS Act so long as the Company qualifies as an emerging growth company, including, but not limited to, not being required to comply with the auditor attestation requirements of Section 404(b) of the Sarbanes-Oxley Act of 2002, reduced disclosure obligations regarding executive compensation and exemptions from the requirements of holding non-binding advisory votes on executive compensation and golden parachute payments.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ind w:right="260" w:firstLine="498"/>
        <w:spacing w:after="0" w:line="256"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rules and forms of the Securities and Exchange Commission (the “SEC”). Disclosure controls and procedures include, without limitation, controls and procedures designed to ensure that information required to be disclosed in company reports filed or submitted under the Exchange Act is accumulated and communicated to management, including our Chief Executive Officer and Chief Financial Officer, as appropriate, to allow timely decisions regarding required disclosure.</w:t>
      </w:r>
    </w:p>
    <w:p>
      <w:pPr>
        <w:spacing w:after="0" w:line="214" w:lineRule="exact"/>
        <w:rPr>
          <w:sz w:val="20"/>
          <w:szCs w:val="20"/>
          <w:color w:val="auto"/>
        </w:rPr>
      </w:pPr>
    </w:p>
    <w:p>
      <w:pPr>
        <w:ind w:firstLine="498"/>
        <w:spacing w:after="0" w:line="266" w:lineRule="auto"/>
        <w:rPr>
          <w:sz w:val="20"/>
          <w:szCs w:val="20"/>
          <w:color w:val="auto"/>
        </w:rPr>
      </w:pPr>
      <w:r>
        <w:rPr>
          <w:rFonts w:ascii="Times New Roman" w:cs="Times New Roman" w:eastAsia="Times New Roman" w:hAnsi="Times New Roman"/>
          <w:sz w:val="18"/>
          <w:szCs w:val="18"/>
          <w:color w:val="auto"/>
        </w:rPr>
        <w:t>Our Chief Executive Officer and Chief Financial Officer, after evaluating the effectiveness of our disclosure controls and procedures (as defined in Exchange Act Rules 13a-15(e) and 15d-15(e)) as of March 31, 2026, have concluded that, based on such evaluation, our disclosure controls and procedures were not effective due to the material weaknesses described below.</w:t>
      </w:r>
    </w:p>
    <w:p>
      <w:pPr>
        <w:spacing w:after="0" w:line="176" w:lineRule="exact"/>
        <w:rPr>
          <w:sz w:val="20"/>
          <w:szCs w:val="20"/>
          <w:color w:val="auto"/>
        </w:rPr>
      </w:pPr>
    </w:p>
    <w:p>
      <w:pPr>
        <w:ind w:right="360" w:firstLine="498"/>
        <w:spacing w:after="0" w:line="261"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there is a reasonable possibility that a material misstatement of the Company’s annual or interim financial statements will not be prevented or detected on a timely basis. Management has identified the following material weaknesses which have caused management to conclude that, as of March 31, 2026, our disclosure controls and procedures were not effective:</w:t>
      </w:r>
    </w:p>
    <w:p>
      <w:pPr>
        <w:spacing w:after="0" w:line="180" w:lineRule="exact"/>
        <w:rPr>
          <w:sz w:val="20"/>
          <w:szCs w:val="20"/>
          <w:color w:val="auto"/>
        </w:rPr>
      </w:pPr>
    </w:p>
    <w:p>
      <w:pPr>
        <w:ind w:left="840" w:hanging="333"/>
        <w:spacing w:after="0"/>
        <w:tabs>
          <w:tab w:leader="none" w:pos="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have sufficient segregation of duties within accounting functions, as its Chief Executive Officer is the sole officer.</w:t>
      </w:r>
    </w:p>
    <w:p>
      <w:pPr>
        <w:spacing w:after="0" w:line="279" w:lineRule="exact"/>
        <w:rPr>
          <w:rFonts w:ascii="Times New Roman" w:cs="Times New Roman" w:eastAsia="Times New Roman" w:hAnsi="Times New Roman"/>
          <w:sz w:val="18"/>
          <w:szCs w:val="18"/>
          <w:color w:val="auto"/>
        </w:rPr>
      </w:pPr>
    </w:p>
    <w:p>
      <w:pPr>
        <w:ind w:left="840" w:hanging="333"/>
        <w:spacing w:after="0"/>
        <w:tabs>
          <w:tab w:leader="none" w:pos="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does not have sufficient or complete written documentation of our internal controls policies and procedures.</w:t>
      </w:r>
    </w:p>
    <w:p>
      <w:pPr>
        <w:spacing w:after="0" w:line="279" w:lineRule="exact"/>
        <w:rPr>
          <w:rFonts w:ascii="Times New Roman" w:cs="Times New Roman" w:eastAsia="Times New Roman" w:hAnsi="Times New Roman"/>
          <w:sz w:val="18"/>
          <w:szCs w:val="18"/>
          <w:color w:val="auto"/>
        </w:rPr>
      </w:pPr>
    </w:p>
    <w:p>
      <w:pPr>
        <w:ind w:left="840" w:hanging="333"/>
        <w:spacing w:after="0"/>
        <w:tabs>
          <w:tab w:leader="none" w:pos="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substantial portion of the Company’s financial reporting is carried out by an outside accounting firm.</w:t>
      </w:r>
    </w:p>
    <w:p>
      <w:pPr>
        <w:spacing w:after="0" w:line="279" w:lineRule="exact"/>
        <w:rPr>
          <w:rFonts w:ascii="Times New Roman" w:cs="Times New Roman" w:eastAsia="Times New Roman" w:hAnsi="Times New Roman"/>
          <w:sz w:val="18"/>
          <w:szCs w:val="18"/>
          <w:color w:val="auto"/>
        </w:rPr>
      </w:pPr>
    </w:p>
    <w:p>
      <w:pPr>
        <w:ind w:left="840" w:right="100" w:hanging="333"/>
        <w:spacing w:after="0" w:line="282" w:lineRule="auto"/>
        <w:tabs>
          <w:tab w:leader="none" w:pos="8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human resources, processes and systems are not sufficient to enable the production of timely and accurate financial statements in accordance with US GAAP.</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Plans for Remediation of Material Weaknesses</w:t>
      </w:r>
    </w:p>
    <w:p>
      <w:pPr>
        <w:spacing w:after="0" w:line="229" w:lineRule="exact"/>
        <w:rPr>
          <w:sz w:val="20"/>
          <w:szCs w:val="20"/>
          <w:color w:val="auto"/>
        </w:rPr>
      </w:pPr>
    </w:p>
    <w:p>
      <w:pPr>
        <w:ind w:right="120" w:firstLine="498"/>
        <w:spacing w:after="0" w:line="266" w:lineRule="auto"/>
        <w:rPr>
          <w:sz w:val="20"/>
          <w:szCs w:val="20"/>
          <w:color w:val="auto"/>
        </w:rPr>
      </w:pPr>
      <w:r>
        <w:rPr>
          <w:rFonts w:ascii="Times New Roman" w:cs="Times New Roman" w:eastAsia="Times New Roman" w:hAnsi="Times New Roman"/>
          <w:sz w:val="18"/>
          <w:szCs w:val="18"/>
          <w:color w:val="auto"/>
        </w:rPr>
        <w:t>Management has taken actions to remediate the deficiencies in its internal controls over financial reporting and implemented additional processes and controls designed to address the underlying causes associated with the above-mentioned material weaknesses. Management is committed to finalizing the remediation of the material weaknesses. Management’s internal control remediation efforts include the following:</w:t>
      </w:r>
    </w:p>
    <w:p>
      <w:pPr>
        <w:spacing w:after="0" w:line="176" w:lineRule="exact"/>
        <w:rPr>
          <w:sz w:val="20"/>
          <w:szCs w:val="20"/>
          <w:color w:val="auto"/>
        </w:rPr>
      </w:pPr>
    </w:p>
    <w:p>
      <w:pPr>
        <w:ind w:left="840" w:right="20" w:hanging="333"/>
        <w:spacing w:after="0" w:line="266" w:lineRule="auto"/>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currently in the process of identifying and engaging internal control consultants to assist us in performing a risk assessment as well as identifying and designing a system of internal controls necessary to mitigate the risks identified, including preparation of written documentation and testing of our internal control policies and procedures;</w:t>
      </w:r>
    </w:p>
    <w:p>
      <w:pPr>
        <w:spacing w:after="0" w:line="175" w:lineRule="exact"/>
        <w:rPr>
          <w:rFonts w:ascii="Times New Roman" w:cs="Times New Roman" w:eastAsia="Times New Roman" w:hAnsi="Times New Roman"/>
          <w:sz w:val="18"/>
          <w:szCs w:val="18"/>
          <w:color w:val="auto"/>
        </w:rPr>
      </w:pPr>
    </w:p>
    <w:p>
      <w:pPr>
        <w:ind w:left="840" w:right="160" w:hanging="333"/>
        <w:spacing w:after="0" w:line="266" w:lineRule="auto"/>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plan to increase our personnel resources and technical accounting expertise within the accounting function to replace our outside service providers; until we have sufficient technical accounting and financial reporting capabilities, we have retained an accounting consulting firm to provide support and to assist us in our evaluation of more complex applications of U.S. GAAP and assist us with financial reporting.</w:t>
      </w:r>
    </w:p>
    <w:p>
      <w:pPr>
        <w:spacing w:after="0" w:line="18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180" w:firstLine="498"/>
        <w:spacing w:after="0" w:line="266" w:lineRule="auto"/>
        <w:rPr>
          <w:sz w:val="20"/>
          <w:szCs w:val="20"/>
          <w:color w:val="auto"/>
        </w:rPr>
      </w:pPr>
      <w:r>
        <w:rPr>
          <w:rFonts w:ascii="Times New Roman" w:cs="Times New Roman" w:eastAsia="Times New Roman" w:hAnsi="Times New Roman"/>
          <w:sz w:val="18"/>
          <w:szCs w:val="18"/>
          <w:color w:val="auto"/>
        </w:rPr>
        <w:t>Other than with respect to the ongoing remediation efforts on the material weaknesses, there were no changes in our internal control over financial reporting (as defined in Exchange Act Rules 13a-15(f) and 15d-15(f)) during the quarter ended March 31, 2026 that have materially affected, or are reasonably likely to materially affect, our internal control over financial reporting.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of the Effectiveness of Internal Controls</w:t>
      </w:r>
    </w:p>
    <w:p>
      <w:pPr>
        <w:spacing w:after="0" w:line="229" w:lineRule="exact"/>
        <w:rPr>
          <w:sz w:val="20"/>
          <w:szCs w:val="20"/>
          <w:color w:val="auto"/>
        </w:rPr>
      </w:pPr>
    </w:p>
    <w:p>
      <w:pPr>
        <w:ind w:firstLine="498"/>
        <w:spacing w:after="0" w:line="266" w:lineRule="auto"/>
        <w:rPr>
          <w:sz w:val="20"/>
          <w:szCs w:val="20"/>
          <w:color w:val="auto"/>
        </w:rPr>
      </w:pPr>
      <w:r>
        <w:rPr>
          <w:rFonts w:ascii="Times New Roman" w:cs="Times New Roman" w:eastAsia="Times New Roman" w:hAnsi="Times New Roman"/>
          <w:sz w:val="18"/>
          <w:szCs w:val="18"/>
          <w:color w:val="auto"/>
        </w:rPr>
        <w:t>A control system, no matter how well conceived and operated, can provide only reasonable, not absolute, assurance that the objectives of the internal control system are met. Because of the inherent limitations of any internal control system, no evaluation of controls can provide absolute assurance that all control issues, if any, within a company have been detected.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100" w:firstLine="498"/>
        <w:spacing w:after="0" w:line="258" w:lineRule="auto"/>
        <w:rPr>
          <w:sz w:val="20"/>
          <w:szCs w:val="20"/>
          <w:color w:val="auto"/>
        </w:rPr>
      </w:pPr>
      <w:r>
        <w:rPr>
          <w:rFonts w:ascii="Times New Roman" w:cs="Times New Roman" w:eastAsia="Times New Roman" w:hAnsi="Times New Roman"/>
          <w:sz w:val="18"/>
          <w:szCs w:val="18"/>
          <w:color w:val="auto"/>
        </w:rPr>
        <w:t>From time to time, we may be involved in litigation that arises through the normal course of business. As of the date of this filing, we are not aware of any material legal proceedings to which we or any of our subsidiaries is a party or to which any of our property is subject, nor are we aware of any such threatened or pending litigation or any such proceedings known to be contemplated by governmental authorities. We are not aware of any material proceedings in which any of our directors, officers, or affiliates or any registered or beneficial stockholder of more than 5% of our Common Stock, or any associate of any of the foregoing, is a party adverse to or has a material interest adverse to, us or any of our subsidiaries.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Not applicable for smaller reporting companies.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Use of Proceeds, and Issuer Purchases of Equity Securities.</w:t>
      </w:r>
    </w:p>
    <w:p>
      <w:pPr>
        <w:spacing w:after="0" w:line="229" w:lineRule="exact"/>
        <w:rPr>
          <w:sz w:val="20"/>
          <w:szCs w:val="20"/>
          <w:color w:val="auto"/>
        </w:rPr>
      </w:pPr>
    </w:p>
    <w:p>
      <w:pPr>
        <w:ind w:right="300" w:firstLine="498"/>
        <w:spacing w:after="0" w:line="282" w:lineRule="auto"/>
        <w:rPr>
          <w:sz w:val="20"/>
          <w:szCs w:val="20"/>
          <w:color w:val="auto"/>
        </w:rPr>
      </w:pPr>
      <w:r>
        <w:rPr>
          <w:rFonts w:ascii="Times New Roman" w:cs="Times New Roman" w:eastAsia="Times New Roman" w:hAnsi="Times New Roman"/>
          <w:sz w:val="18"/>
          <w:szCs w:val="18"/>
          <w:color w:val="auto"/>
        </w:rPr>
        <w:t>On April 7, 2026, the Company issued a total of 15,000,000 shares of Common Stock pursuant to the automatic conversion of shares of Series A Convertible Preferred Stock upon completion of certain trigger events.</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 April 30, 2026, the Company issued 10,415 shares of the Company’s Common Stock to a consultant pursuant to a stock option exercise.</w:t>
      </w:r>
    </w:p>
    <w:p>
      <w:pPr>
        <w:spacing w:after="0" w:line="225" w:lineRule="exact"/>
        <w:rPr>
          <w:sz w:val="20"/>
          <w:szCs w:val="20"/>
          <w:color w:val="auto"/>
        </w:rPr>
      </w:pPr>
    </w:p>
    <w:p>
      <w:pPr>
        <w:ind w:right="200" w:firstLine="498"/>
        <w:spacing w:after="0" w:line="282" w:lineRule="auto"/>
        <w:rPr>
          <w:sz w:val="20"/>
          <w:szCs w:val="20"/>
          <w:color w:val="auto"/>
        </w:rPr>
      </w:pPr>
      <w:r>
        <w:rPr>
          <w:rFonts w:ascii="Times New Roman" w:cs="Times New Roman" w:eastAsia="Times New Roman" w:hAnsi="Times New Roman"/>
          <w:sz w:val="18"/>
          <w:szCs w:val="18"/>
          <w:color w:val="auto"/>
        </w:rPr>
        <w:t>The issuances, conversions and option exercise were exempt from registration under the Securities Act of 1933 pursuant to Section 4(a)(2) thereof and Rule 506(b) promulgated thereunder.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jc w:val="center"/>
        <w:ind w:right="91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none of our directors or officers (as defined in Rule 16a-1(f) under the Exchange Act) adopted or terminated any contract, instruction or written plan for the purchase or sale of our securities that was intended to satisfy the affirmative defense conditions of Rule 10b5-1(c) under the Exchange Act or any “non-Rule 10b5-1 arrangement” as defined in Item 408(c) of Regulation S-K.</w:t>
      </w:r>
    </w:p>
    <w:p>
      <w:pPr>
        <w:spacing w:after="0" w:line="1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40" w:type="dxa"/>
            <w:vAlign w:val="bottom"/>
            <w:gridSpan w:val="7"/>
          </w:tcPr>
          <w:p>
            <w:pPr>
              <w:ind w:left="4180"/>
              <w:spacing w:after="0"/>
              <w:rPr>
                <w:sz w:val="20"/>
                <w:szCs w:val="20"/>
                <w:color w:val="auto"/>
              </w:rPr>
            </w:pPr>
            <w:r>
              <w:rPr>
                <w:rFonts w:ascii="Times New Roman" w:cs="Times New Roman" w:eastAsia="Times New Roman" w:hAnsi="Times New Roman"/>
                <w:sz w:val="18"/>
                <w:szCs w:val="18"/>
                <w:b w:val="1"/>
                <w:bCs w:val="1"/>
                <w:color w:val="auto"/>
              </w:rPr>
              <w:t>EXHIBIT INDEX</w:t>
            </w: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6"/>
        </w:trPr>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60" w:type="dxa"/>
            <w:vAlign w:val="bottom"/>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Incorporated by</w:t>
            </w:r>
          </w:p>
        </w:tc>
        <w:tc>
          <w:tcPr>
            <w:tcW w:w="0" w:type="dxa"/>
            <w:vAlign w:val="bottom"/>
          </w:tcPr>
          <w:p>
            <w:pPr>
              <w:spacing w:after="0"/>
              <w:rPr>
                <w:sz w:val="1"/>
                <w:szCs w:val="1"/>
                <w:color w:val="auto"/>
              </w:rPr>
            </w:pPr>
          </w:p>
        </w:tc>
      </w:tr>
      <w:tr>
        <w:trPr>
          <w:trHeight w:val="238"/>
        </w:trPr>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43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30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Filed/Furnished</w:t>
            </w:r>
          </w:p>
        </w:tc>
        <w:tc>
          <w:tcPr>
            <w:tcW w:w="4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Reference</w:t>
            </w:r>
          </w:p>
        </w:tc>
        <w:tc>
          <w:tcPr>
            <w:tcW w:w="0" w:type="dxa"/>
            <w:vAlign w:val="bottom"/>
          </w:tcPr>
          <w:p>
            <w:pPr>
              <w:spacing w:after="0"/>
              <w:rPr>
                <w:sz w:val="1"/>
                <w:szCs w:val="1"/>
                <w:color w:val="auto"/>
              </w:rPr>
            </w:pPr>
          </w:p>
        </w:tc>
      </w:tr>
      <w:tr>
        <w:trPr>
          <w:trHeight w:val="187"/>
        </w:trPr>
        <w:tc>
          <w:tcPr>
            <w:tcW w:w="740" w:type="dxa"/>
            <w:vAlign w:val="bottom"/>
            <w:gridSpan w:val="2"/>
            <w:vMerge w:val="continue"/>
          </w:tcPr>
          <w:p>
            <w:pPr>
              <w:spacing w:after="0"/>
              <w:rPr>
                <w:sz w:val="16"/>
                <w:szCs w:val="16"/>
                <w:color w:val="auto"/>
              </w:rPr>
            </w:pPr>
          </w:p>
        </w:tc>
        <w:tc>
          <w:tcPr>
            <w:tcW w:w="43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Exhibit</w:t>
            </w:r>
          </w:p>
        </w:tc>
        <w:tc>
          <w:tcPr>
            <w:tcW w:w="6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7"/>
              </w:rPr>
              <w:t>Filing</w:t>
            </w:r>
          </w:p>
        </w:tc>
        <w:tc>
          <w:tcPr>
            <w:tcW w:w="0" w:type="dxa"/>
            <w:vAlign w:val="bottom"/>
          </w:tcPr>
          <w:p>
            <w:pPr>
              <w:spacing w:after="0"/>
              <w:rPr>
                <w:sz w:val="1"/>
                <w:szCs w:val="1"/>
                <w:color w:val="auto"/>
              </w:rPr>
            </w:pPr>
          </w:p>
        </w:tc>
      </w:tr>
      <w:tr>
        <w:trPr>
          <w:trHeight w:val="238"/>
        </w:trPr>
        <w:tc>
          <w:tcPr>
            <w:tcW w:w="7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No.</w:t>
            </w:r>
          </w:p>
        </w:tc>
        <w:tc>
          <w:tcPr>
            <w:tcW w:w="7440" w:type="dxa"/>
            <w:vAlign w:val="bottom"/>
            <w:gridSpan w:val="7"/>
          </w:tcPr>
          <w:p>
            <w:pPr>
              <w:ind w:left="32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30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Herewith</w:t>
            </w:r>
          </w:p>
        </w:tc>
        <w:tc>
          <w:tcPr>
            <w:tcW w:w="4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6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No.</w:t>
            </w: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191"/>
        </w:trPr>
        <w:tc>
          <w:tcPr>
            <w:tcW w:w="68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2.1</w:t>
            </w:r>
          </w:p>
        </w:tc>
        <w:tc>
          <w:tcPr>
            <w:tcW w:w="60" w:type="dxa"/>
            <w:vAlign w:val="bottom"/>
            <w:tcBorders>
              <w:top w:val="single" w:sz="8" w:color="CCEEFF"/>
            </w:tcBorders>
            <w:shd w:val="clear" w:color="auto" w:fill="CCEEFF"/>
          </w:tcPr>
          <w:p>
            <w:pPr>
              <w:spacing w:after="0"/>
              <w:rPr>
                <w:sz w:val="16"/>
                <w:szCs w:val="16"/>
                <w:color w:val="auto"/>
              </w:rPr>
            </w:pPr>
          </w:p>
        </w:tc>
        <w:tc>
          <w:tcPr>
            <w:tcW w:w="7380" w:type="dxa"/>
            <w:vAlign w:val="bottom"/>
            <w:tcBorders>
              <w:top w:val="single" w:sz="8" w:color="auto"/>
            </w:tcBorders>
            <w:gridSpan w:val="6"/>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Business Combination Agreement, dated as of September 6, 2023, by and among the Company, Tigre</w:t>
            </w:r>
          </w:p>
        </w:tc>
        <w:tc>
          <w:tcPr>
            <w:tcW w:w="60" w:type="dxa"/>
            <w:vAlign w:val="bottom"/>
            <w:tcBorders>
              <w:top w:val="single" w:sz="8" w:color="CCEEFF"/>
            </w:tcBorders>
            <w:shd w:val="clear" w:color="auto" w:fill="CCEEFF"/>
          </w:tcPr>
          <w:p>
            <w:pPr>
              <w:spacing w:after="0"/>
              <w:rPr>
                <w:sz w:val="16"/>
                <w:szCs w:val="16"/>
                <w:color w:val="auto"/>
              </w:rPr>
            </w:pPr>
          </w:p>
        </w:tc>
        <w:tc>
          <w:tcPr>
            <w:tcW w:w="124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8-K</w:t>
            </w:r>
          </w:p>
        </w:tc>
        <w:tc>
          <w:tcPr>
            <w:tcW w:w="6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2.1</w:t>
            </w:r>
          </w:p>
        </w:tc>
        <w:tc>
          <w:tcPr>
            <w:tcW w:w="6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9/6/23</w:t>
            </w:r>
          </w:p>
        </w:tc>
        <w:tc>
          <w:tcPr>
            <w:tcW w:w="0" w:type="dxa"/>
            <w:vAlign w:val="bottom"/>
          </w:tcPr>
          <w:p>
            <w:pPr>
              <w:spacing w:after="0"/>
              <w:rPr>
                <w:sz w:val="1"/>
                <w:szCs w:val="1"/>
                <w:color w:val="auto"/>
              </w:rPr>
            </w:pPr>
          </w:p>
        </w:tc>
      </w:tr>
      <w:tr>
        <w:trPr>
          <w:trHeight w:val="234"/>
        </w:trPr>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Merger Sub, Inc. and Legacy Zapata</w:t>
            </w:r>
          </w:p>
        </w:tc>
        <w:tc>
          <w:tcPr>
            <w:tcW w:w="12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60" w:type="dxa"/>
            <w:vAlign w:val="bottom"/>
          </w:tcPr>
          <w:p>
            <w:pPr>
              <w:spacing w:after="0"/>
              <w:rPr>
                <w:sz w:val="20"/>
                <w:szCs w:val="20"/>
                <w:color w:val="auto"/>
              </w:rPr>
            </w:pPr>
          </w:p>
        </w:tc>
        <w:tc>
          <w:tcPr>
            <w:tcW w:w="74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Certificate of Incorporation</w:t>
            </w: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6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4/3/24</w:t>
            </w:r>
          </w:p>
        </w:tc>
        <w:tc>
          <w:tcPr>
            <w:tcW w:w="0" w:type="dxa"/>
            <w:vAlign w:val="bottom"/>
          </w:tcPr>
          <w:p>
            <w:pPr>
              <w:spacing w:after="0"/>
              <w:rPr>
                <w:sz w:val="1"/>
                <w:szCs w:val="1"/>
                <w:color w:val="auto"/>
              </w:rPr>
            </w:pPr>
          </w:p>
        </w:tc>
      </w:tr>
      <w:tr>
        <w:trPr>
          <w:trHeight w:val="247"/>
        </w:trPr>
        <w:tc>
          <w:tcPr>
            <w:tcW w:w="740" w:type="dxa"/>
            <w:vAlign w:val="bottom"/>
            <w:gridSpan w:val="2"/>
            <w:shd w:val="clear" w:color="auto" w:fill="CCEEFF"/>
          </w:tcPr>
          <w:p>
            <w:pPr>
              <w:jc w:val="center"/>
              <w:ind w:right="40"/>
              <w:spacing w:after="0"/>
              <w:rPr>
                <w:sz w:val="20"/>
                <w:szCs w:val="20"/>
                <w:color w:val="auto"/>
              </w:rPr>
            </w:pPr>
            <w:r>
              <w:rPr>
                <w:rFonts w:ascii="Times New Roman" w:cs="Times New Roman" w:eastAsia="Times New Roman" w:hAnsi="Times New Roman"/>
                <w:sz w:val="18"/>
                <w:szCs w:val="18"/>
                <w:color w:val="auto"/>
                <w:w w:val="98"/>
              </w:rPr>
              <w:t>3.1(a)</w:t>
            </w:r>
          </w:p>
        </w:tc>
        <w:tc>
          <w:tcPr>
            <w:tcW w:w="74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Certificate of Amendment to Certificate of Incorporation</w:t>
            </w:r>
          </w:p>
        </w:tc>
        <w:tc>
          <w:tcPr>
            <w:tcW w:w="12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60" w:type="dxa"/>
            <w:vAlign w:val="bottom"/>
            <w:shd w:val="clear" w:color="auto" w:fill="CCEEFF"/>
          </w:tcPr>
          <w:p>
            <w:pPr>
              <w:spacing w:after="0"/>
              <w:rPr>
                <w:sz w:val="21"/>
                <w:szCs w:val="21"/>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8/27/25</w:t>
            </w:r>
          </w:p>
        </w:tc>
        <w:tc>
          <w:tcPr>
            <w:tcW w:w="0" w:type="dxa"/>
            <w:vAlign w:val="bottom"/>
          </w:tcPr>
          <w:p>
            <w:pPr>
              <w:spacing w:after="0"/>
              <w:rPr>
                <w:sz w:val="1"/>
                <w:szCs w:val="1"/>
                <w:color w:val="auto"/>
              </w:rPr>
            </w:pPr>
          </w:p>
        </w:tc>
      </w:tr>
      <w:tr>
        <w:trPr>
          <w:trHeight w:val="198"/>
        </w:trPr>
        <w:tc>
          <w:tcPr>
            <w:tcW w:w="6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3.2</w:t>
            </w:r>
          </w:p>
        </w:tc>
        <w:tc>
          <w:tcPr>
            <w:tcW w:w="60" w:type="dxa"/>
            <w:vAlign w:val="bottom"/>
          </w:tcPr>
          <w:p>
            <w:pPr>
              <w:spacing w:after="0"/>
              <w:rPr>
                <w:sz w:val="17"/>
                <w:szCs w:val="17"/>
                <w:color w:val="auto"/>
              </w:rPr>
            </w:pPr>
          </w:p>
        </w:tc>
        <w:tc>
          <w:tcPr>
            <w:tcW w:w="7440" w:type="dxa"/>
            <w:vAlign w:val="bottom"/>
            <w:gridSpan w:val="7"/>
          </w:tcPr>
          <w:p>
            <w:pPr>
              <w:spacing w:after="0" w:line="198" w:lineRule="exact"/>
              <w:rPr>
                <w:sz w:val="20"/>
                <w:szCs w:val="20"/>
                <w:color w:val="auto"/>
              </w:rPr>
            </w:pPr>
            <w:r>
              <w:rPr>
                <w:rFonts w:ascii="Times New Roman" w:cs="Times New Roman" w:eastAsia="Times New Roman" w:hAnsi="Times New Roman"/>
                <w:sz w:val="18"/>
                <w:szCs w:val="18"/>
                <w:color w:val="auto"/>
              </w:rPr>
              <w:t>Certificate of Designations, of Preferences, Rights and Limitation of the Series A Convertible</w:t>
            </w: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gridSpan w:val="2"/>
          </w:tcPr>
          <w:p>
            <w:pPr>
              <w:jc w:val="center"/>
              <w:ind w:right="80"/>
              <w:spacing w:after="0" w:line="198" w:lineRule="exact"/>
              <w:rPr>
                <w:sz w:val="20"/>
                <w:szCs w:val="20"/>
                <w:color w:val="auto"/>
              </w:rPr>
            </w:pPr>
            <w:r>
              <w:rPr>
                <w:rFonts w:ascii="Times New Roman" w:cs="Times New Roman" w:eastAsia="Times New Roman" w:hAnsi="Times New Roman"/>
                <w:sz w:val="18"/>
                <w:szCs w:val="18"/>
                <w:color w:val="auto"/>
                <w:w w:val="99"/>
              </w:rPr>
              <w:t>8-K</w:t>
            </w:r>
          </w:p>
        </w:tc>
        <w:tc>
          <w:tcPr>
            <w:tcW w:w="5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4.1</w:t>
            </w:r>
          </w:p>
        </w:tc>
        <w:tc>
          <w:tcPr>
            <w:tcW w:w="60" w:type="dxa"/>
            <w:vAlign w:val="bottom"/>
          </w:tcPr>
          <w:p>
            <w:pPr>
              <w:spacing w:after="0"/>
              <w:rPr>
                <w:sz w:val="17"/>
                <w:szCs w:val="17"/>
                <w:color w:val="auto"/>
              </w:rPr>
            </w:pPr>
          </w:p>
        </w:tc>
        <w:tc>
          <w:tcPr>
            <w:tcW w:w="6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10/28/25</w:t>
            </w: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Preferred Stock</w:t>
            </w: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6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3.3</w:t>
            </w:r>
          </w:p>
        </w:tc>
        <w:tc>
          <w:tcPr>
            <w:tcW w:w="60" w:type="dxa"/>
            <w:vAlign w:val="bottom"/>
            <w:shd w:val="clear" w:color="auto" w:fill="CCEEFF"/>
          </w:tcPr>
          <w:p>
            <w:pPr>
              <w:spacing w:after="0"/>
              <w:rPr>
                <w:sz w:val="17"/>
                <w:szCs w:val="17"/>
                <w:color w:val="auto"/>
              </w:rPr>
            </w:pPr>
          </w:p>
        </w:tc>
        <w:tc>
          <w:tcPr>
            <w:tcW w:w="7440" w:type="dxa"/>
            <w:vAlign w:val="bottom"/>
            <w:gridSpan w:val="7"/>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Certificate of Designations, of Preferences, Rights and Limitation of the Series C Convertible</w:t>
            </w:r>
          </w:p>
        </w:tc>
        <w:tc>
          <w:tcPr>
            <w:tcW w:w="1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center"/>
              <w:ind w:right="80"/>
              <w:spacing w:after="0" w:line="198" w:lineRule="exact"/>
              <w:rPr>
                <w:sz w:val="20"/>
                <w:szCs w:val="20"/>
                <w:color w:val="auto"/>
              </w:rPr>
            </w:pPr>
            <w:r>
              <w:rPr>
                <w:rFonts w:ascii="Times New Roman" w:cs="Times New Roman" w:eastAsia="Times New Roman" w:hAnsi="Times New Roman"/>
                <w:sz w:val="18"/>
                <w:szCs w:val="18"/>
                <w:color w:val="auto"/>
                <w:w w:val="99"/>
              </w:rPr>
              <w:t>8-K</w:t>
            </w:r>
          </w:p>
        </w:tc>
        <w:tc>
          <w:tcPr>
            <w:tcW w:w="5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4.1</w:t>
            </w: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rPr>
              <w:t>7/24/25</w:t>
            </w:r>
          </w:p>
        </w:tc>
        <w:tc>
          <w:tcPr>
            <w:tcW w:w="0" w:type="dxa"/>
            <w:vAlign w:val="bottom"/>
          </w:tcPr>
          <w:p>
            <w:pPr>
              <w:spacing w:after="0"/>
              <w:rPr>
                <w:sz w:val="1"/>
                <w:szCs w:val="1"/>
                <w:color w:val="auto"/>
              </w:rPr>
            </w:pPr>
          </w:p>
        </w:tc>
      </w:tr>
      <w:tr>
        <w:trPr>
          <w:trHeight w:val="234"/>
        </w:trPr>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4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Stock</w:t>
            </w:r>
          </w:p>
        </w:tc>
        <w:tc>
          <w:tcPr>
            <w:tcW w:w="12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40" w:type="dxa"/>
            <w:vAlign w:val="bottom"/>
            <w:gridSpan w:val="2"/>
          </w:tcPr>
          <w:p>
            <w:pPr>
              <w:jc w:val="center"/>
              <w:ind w:right="40"/>
              <w:spacing w:after="0" w:line="198" w:lineRule="exact"/>
              <w:rPr>
                <w:sz w:val="20"/>
                <w:szCs w:val="20"/>
                <w:color w:val="auto"/>
              </w:rPr>
            </w:pPr>
            <w:r>
              <w:rPr>
                <w:rFonts w:ascii="Times New Roman" w:cs="Times New Roman" w:eastAsia="Times New Roman" w:hAnsi="Times New Roman"/>
                <w:sz w:val="18"/>
                <w:szCs w:val="18"/>
                <w:color w:val="auto"/>
                <w:w w:val="98"/>
              </w:rPr>
              <w:t>3.3(a)</w:t>
            </w:r>
          </w:p>
        </w:tc>
        <w:tc>
          <w:tcPr>
            <w:tcW w:w="7440" w:type="dxa"/>
            <w:vAlign w:val="bottom"/>
            <w:gridSpan w:val="7"/>
          </w:tcPr>
          <w:p>
            <w:pPr>
              <w:spacing w:after="0" w:line="198" w:lineRule="exact"/>
              <w:rPr>
                <w:sz w:val="20"/>
                <w:szCs w:val="20"/>
                <w:color w:val="auto"/>
              </w:rPr>
            </w:pPr>
            <w:r>
              <w:rPr>
                <w:rFonts w:ascii="Times New Roman" w:cs="Times New Roman" w:eastAsia="Times New Roman" w:hAnsi="Times New Roman"/>
                <w:sz w:val="18"/>
                <w:szCs w:val="18"/>
                <w:color w:val="auto"/>
              </w:rPr>
              <w:t>Certificate of Amendment to the Certificate of Designations, of Preferences, Rights and Limitation of</w:t>
            </w: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gridSpan w:val="2"/>
          </w:tcPr>
          <w:p>
            <w:pPr>
              <w:jc w:val="center"/>
              <w:ind w:right="80"/>
              <w:spacing w:after="0" w:line="198" w:lineRule="exact"/>
              <w:rPr>
                <w:sz w:val="20"/>
                <w:szCs w:val="20"/>
                <w:color w:val="auto"/>
              </w:rPr>
            </w:pPr>
            <w:r>
              <w:rPr>
                <w:rFonts w:ascii="Times New Roman" w:cs="Times New Roman" w:eastAsia="Times New Roman" w:hAnsi="Times New Roman"/>
                <w:sz w:val="18"/>
                <w:szCs w:val="18"/>
                <w:color w:val="auto"/>
                <w:w w:val="99"/>
              </w:rPr>
              <w:t>8-K</w:t>
            </w:r>
          </w:p>
        </w:tc>
        <w:tc>
          <w:tcPr>
            <w:tcW w:w="58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4.1</w:t>
            </w:r>
          </w:p>
        </w:tc>
        <w:tc>
          <w:tcPr>
            <w:tcW w:w="60" w:type="dxa"/>
            <w:vAlign w:val="bottom"/>
          </w:tcPr>
          <w:p>
            <w:pPr>
              <w:spacing w:after="0"/>
              <w:rPr>
                <w:sz w:val="17"/>
                <w:szCs w:val="17"/>
                <w:color w:val="auto"/>
              </w:rPr>
            </w:pPr>
          </w:p>
        </w:tc>
        <w:tc>
          <w:tcPr>
            <w:tcW w:w="6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11/6/25</w:t>
            </w: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74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the Series C Convertible Preferred Stock</w:t>
            </w: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60" w:type="dxa"/>
            <w:vAlign w:val="bottom"/>
            <w:shd w:val="clear" w:color="auto" w:fill="CCEEFF"/>
          </w:tcPr>
          <w:p>
            <w:pPr>
              <w:spacing w:after="0"/>
              <w:rPr>
                <w:sz w:val="21"/>
                <w:szCs w:val="21"/>
                <w:color w:val="auto"/>
              </w:rPr>
            </w:pPr>
          </w:p>
        </w:tc>
        <w:tc>
          <w:tcPr>
            <w:tcW w:w="74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Series D Certificate of Designation</w:t>
            </w:r>
          </w:p>
        </w:tc>
        <w:tc>
          <w:tcPr>
            <w:tcW w:w="12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60" w:type="dxa"/>
            <w:vAlign w:val="bottom"/>
            <w:shd w:val="clear" w:color="auto" w:fill="CCEEFF"/>
          </w:tcPr>
          <w:p>
            <w:pPr>
              <w:spacing w:after="0"/>
              <w:rPr>
                <w:sz w:val="21"/>
                <w:szCs w:val="21"/>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4/8/26</w:t>
            </w:r>
          </w:p>
        </w:tc>
        <w:tc>
          <w:tcPr>
            <w:tcW w:w="0" w:type="dxa"/>
            <w:vAlign w:val="bottom"/>
          </w:tcPr>
          <w:p>
            <w:pPr>
              <w:spacing w:after="0"/>
              <w:rPr>
                <w:sz w:val="1"/>
                <w:szCs w:val="1"/>
                <w:color w:val="auto"/>
              </w:rPr>
            </w:pPr>
          </w:p>
        </w:tc>
      </w:tr>
      <w:tr>
        <w:trPr>
          <w:trHeight w:val="239"/>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3.5</w:t>
            </w:r>
          </w:p>
        </w:tc>
        <w:tc>
          <w:tcPr>
            <w:tcW w:w="60" w:type="dxa"/>
            <w:vAlign w:val="bottom"/>
          </w:tcPr>
          <w:p>
            <w:pPr>
              <w:spacing w:after="0"/>
              <w:rPr>
                <w:sz w:val="20"/>
                <w:szCs w:val="20"/>
                <w:color w:val="auto"/>
              </w:rPr>
            </w:pPr>
          </w:p>
        </w:tc>
        <w:tc>
          <w:tcPr>
            <w:tcW w:w="74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Bylaws of Zapata Computing Holdings Inc.</w:t>
            </w: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6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4/3/24</w:t>
            </w:r>
          </w:p>
        </w:tc>
        <w:tc>
          <w:tcPr>
            <w:tcW w:w="0" w:type="dxa"/>
            <w:vAlign w:val="bottom"/>
          </w:tcPr>
          <w:p>
            <w:pPr>
              <w:spacing w:after="0"/>
              <w:rPr>
                <w:sz w:val="1"/>
                <w:szCs w:val="1"/>
                <w:color w:val="auto"/>
              </w:rPr>
            </w:pPr>
          </w:p>
        </w:tc>
      </w:tr>
      <w:tr>
        <w:trPr>
          <w:trHeight w:val="247"/>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60" w:type="dxa"/>
            <w:vAlign w:val="bottom"/>
            <w:shd w:val="clear" w:color="auto" w:fill="CCEEFF"/>
          </w:tcPr>
          <w:p>
            <w:pPr>
              <w:spacing w:after="0"/>
              <w:rPr>
                <w:sz w:val="21"/>
                <w:szCs w:val="21"/>
                <w:color w:val="auto"/>
              </w:rPr>
            </w:pPr>
          </w:p>
        </w:tc>
        <w:tc>
          <w:tcPr>
            <w:tcW w:w="74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Note</w:t>
            </w:r>
          </w:p>
        </w:tc>
        <w:tc>
          <w:tcPr>
            <w:tcW w:w="12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60" w:type="dxa"/>
            <w:vAlign w:val="bottom"/>
            <w:shd w:val="clear" w:color="auto" w:fill="CCEEFF"/>
          </w:tcPr>
          <w:p>
            <w:pPr>
              <w:spacing w:after="0"/>
              <w:rPr>
                <w:sz w:val="21"/>
                <w:szCs w:val="21"/>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6/18/25</w:t>
            </w:r>
          </w:p>
        </w:tc>
        <w:tc>
          <w:tcPr>
            <w:tcW w:w="0" w:type="dxa"/>
            <w:vAlign w:val="bottom"/>
          </w:tcPr>
          <w:p>
            <w:pPr>
              <w:spacing w:after="0"/>
              <w:rPr>
                <w:sz w:val="1"/>
                <w:szCs w:val="1"/>
                <w:color w:val="auto"/>
              </w:rPr>
            </w:pPr>
          </w:p>
        </w:tc>
      </w:tr>
      <w:tr>
        <w:trPr>
          <w:trHeight w:val="239"/>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60" w:type="dxa"/>
            <w:vAlign w:val="bottom"/>
          </w:tcPr>
          <w:p>
            <w:pPr>
              <w:spacing w:after="0"/>
              <w:rPr>
                <w:sz w:val="20"/>
                <w:szCs w:val="20"/>
                <w:color w:val="auto"/>
              </w:rPr>
            </w:pPr>
          </w:p>
        </w:tc>
        <w:tc>
          <w:tcPr>
            <w:tcW w:w="74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Form of Warrant</w:t>
            </w: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6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6/18/25</w:t>
            </w:r>
          </w:p>
        </w:tc>
        <w:tc>
          <w:tcPr>
            <w:tcW w:w="0" w:type="dxa"/>
            <w:vAlign w:val="bottom"/>
          </w:tcPr>
          <w:p>
            <w:pPr>
              <w:spacing w:after="0"/>
              <w:rPr>
                <w:sz w:val="1"/>
                <w:szCs w:val="1"/>
                <w:color w:val="auto"/>
              </w:rPr>
            </w:pPr>
          </w:p>
        </w:tc>
      </w:tr>
      <w:tr>
        <w:trPr>
          <w:trHeight w:val="247"/>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60" w:type="dxa"/>
            <w:vAlign w:val="bottom"/>
            <w:shd w:val="clear" w:color="auto" w:fill="CCEEFF"/>
          </w:tcPr>
          <w:p>
            <w:pPr>
              <w:spacing w:after="0"/>
              <w:rPr>
                <w:sz w:val="21"/>
                <w:szCs w:val="21"/>
                <w:color w:val="auto"/>
              </w:rPr>
            </w:pPr>
          </w:p>
        </w:tc>
        <w:tc>
          <w:tcPr>
            <w:tcW w:w="74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Warrant</w:t>
            </w:r>
          </w:p>
        </w:tc>
        <w:tc>
          <w:tcPr>
            <w:tcW w:w="12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60" w:type="dxa"/>
            <w:vAlign w:val="bottom"/>
            <w:shd w:val="clear" w:color="auto" w:fill="CCEEFF"/>
          </w:tcPr>
          <w:p>
            <w:pPr>
              <w:spacing w:after="0"/>
              <w:rPr>
                <w:sz w:val="21"/>
                <w:szCs w:val="21"/>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4/8/26</w:t>
            </w:r>
          </w:p>
        </w:tc>
        <w:tc>
          <w:tcPr>
            <w:tcW w:w="0" w:type="dxa"/>
            <w:vAlign w:val="bottom"/>
          </w:tcPr>
          <w:p>
            <w:pPr>
              <w:spacing w:after="0"/>
              <w:rPr>
                <w:sz w:val="1"/>
                <w:szCs w:val="1"/>
                <w:color w:val="auto"/>
              </w:rPr>
            </w:pPr>
          </w:p>
        </w:tc>
      </w:tr>
      <w:tr>
        <w:trPr>
          <w:trHeight w:val="239"/>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60" w:type="dxa"/>
            <w:vAlign w:val="bottom"/>
          </w:tcPr>
          <w:p>
            <w:pPr>
              <w:spacing w:after="0"/>
              <w:rPr>
                <w:sz w:val="20"/>
                <w:szCs w:val="20"/>
                <w:color w:val="auto"/>
              </w:rPr>
            </w:pPr>
          </w:p>
        </w:tc>
        <w:tc>
          <w:tcPr>
            <w:tcW w:w="74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Form of Conversion Agreement +</w:t>
            </w: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6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6/18/25</w:t>
            </w:r>
          </w:p>
        </w:tc>
        <w:tc>
          <w:tcPr>
            <w:tcW w:w="0" w:type="dxa"/>
            <w:vAlign w:val="bottom"/>
          </w:tcPr>
          <w:p>
            <w:pPr>
              <w:spacing w:after="0"/>
              <w:rPr>
                <w:sz w:val="1"/>
                <w:szCs w:val="1"/>
                <w:color w:val="auto"/>
              </w:rPr>
            </w:pPr>
          </w:p>
        </w:tc>
      </w:tr>
      <w:tr>
        <w:trPr>
          <w:trHeight w:val="247"/>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60" w:type="dxa"/>
            <w:vAlign w:val="bottom"/>
            <w:shd w:val="clear" w:color="auto" w:fill="CCEEFF"/>
          </w:tcPr>
          <w:p>
            <w:pPr>
              <w:spacing w:after="0"/>
              <w:rPr>
                <w:sz w:val="21"/>
                <w:szCs w:val="21"/>
                <w:color w:val="auto"/>
              </w:rPr>
            </w:pPr>
          </w:p>
        </w:tc>
        <w:tc>
          <w:tcPr>
            <w:tcW w:w="74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Securities Purchase Agreement +</w:t>
            </w:r>
          </w:p>
        </w:tc>
        <w:tc>
          <w:tcPr>
            <w:tcW w:w="12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60" w:type="dxa"/>
            <w:vAlign w:val="bottom"/>
            <w:shd w:val="clear" w:color="auto" w:fill="CCEEFF"/>
          </w:tcPr>
          <w:p>
            <w:pPr>
              <w:spacing w:after="0"/>
              <w:rPr>
                <w:sz w:val="21"/>
                <w:szCs w:val="21"/>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6/18/25</w:t>
            </w:r>
          </w:p>
        </w:tc>
        <w:tc>
          <w:tcPr>
            <w:tcW w:w="0" w:type="dxa"/>
            <w:vAlign w:val="bottom"/>
          </w:tcPr>
          <w:p>
            <w:pPr>
              <w:spacing w:after="0"/>
              <w:rPr>
                <w:sz w:val="1"/>
                <w:szCs w:val="1"/>
                <w:color w:val="auto"/>
              </w:rPr>
            </w:pPr>
          </w:p>
        </w:tc>
      </w:tr>
      <w:tr>
        <w:trPr>
          <w:trHeight w:val="239"/>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60" w:type="dxa"/>
            <w:vAlign w:val="bottom"/>
          </w:tcPr>
          <w:p>
            <w:pPr>
              <w:spacing w:after="0"/>
              <w:rPr>
                <w:sz w:val="20"/>
                <w:szCs w:val="20"/>
                <w:color w:val="auto"/>
              </w:rPr>
            </w:pPr>
          </w:p>
        </w:tc>
        <w:tc>
          <w:tcPr>
            <w:tcW w:w="74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Form of Consent Agreement</w:t>
            </w: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6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6/18/25</w:t>
            </w:r>
          </w:p>
        </w:tc>
        <w:tc>
          <w:tcPr>
            <w:tcW w:w="0" w:type="dxa"/>
            <w:vAlign w:val="bottom"/>
          </w:tcPr>
          <w:p>
            <w:pPr>
              <w:spacing w:after="0"/>
              <w:rPr>
                <w:sz w:val="1"/>
                <w:szCs w:val="1"/>
                <w:color w:val="auto"/>
              </w:rPr>
            </w:pPr>
          </w:p>
        </w:tc>
      </w:tr>
      <w:tr>
        <w:trPr>
          <w:trHeight w:val="247"/>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60" w:type="dxa"/>
            <w:vAlign w:val="bottom"/>
            <w:shd w:val="clear" w:color="auto" w:fill="CCEEFF"/>
          </w:tcPr>
          <w:p>
            <w:pPr>
              <w:spacing w:after="0"/>
              <w:rPr>
                <w:sz w:val="21"/>
                <w:szCs w:val="21"/>
                <w:color w:val="auto"/>
              </w:rPr>
            </w:pPr>
          </w:p>
        </w:tc>
        <w:tc>
          <w:tcPr>
            <w:tcW w:w="74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Universal Resale and Registration Provisions +</w:t>
            </w:r>
          </w:p>
        </w:tc>
        <w:tc>
          <w:tcPr>
            <w:tcW w:w="12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10.4</w:t>
            </w:r>
          </w:p>
        </w:tc>
        <w:tc>
          <w:tcPr>
            <w:tcW w:w="60" w:type="dxa"/>
            <w:vAlign w:val="bottom"/>
            <w:shd w:val="clear" w:color="auto" w:fill="CCEEFF"/>
          </w:tcPr>
          <w:p>
            <w:pPr>
              <w:spacing w:after="0"/>
              <w:rPr>
                <w:sz w:val="21"/>
                <w:szCs w:val="21"/>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6/18/25</w:t>
            </w:r>
          </w:p>
        </w:tc>
        <w:tc>
          <w:tcPr>
            <w:tcW w:w="0" w:type="dxa"/>
            <w:vAlign w:val="bottom"/>
          </w:tcPr>
          <w:p>
            <w:pPr>
              <w:spacing w:after="0"/>
              <w:rPr>
                <w:sz w:val="1"/>
                <w:szCs w:val="1"/>
                <w:color w:val="auto"/>
              </w:rPr>
            </w:pPr>
          </w:p>
        </w:tc>
      </w:tr>
      <w:tr>
        <w:trPr>
          <w:trHeight w:val="239"/>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60" w:type="dxa"/>
            <w:vAlign w:val="bottom"/>
          </w:tcPr>
          <w:p>
            <w:pPr>
              <w:spacing w:after="0"/>
              <w:rPr>
                <w:sz w:val="20"/>
                <w:szCs w:val="20"/>
                <w:color w:val="auto"/>
              </w:rPr>
            </w:pPr>
          </w:p>
        </w:tc>
        <w:tc>
          <w:tcPr>
            <w:tcW w:w="74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Form of Security Agreement +</w:t>
            </w: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10.5</w:t>
            </w:r>
          </w:p>
        </w:tc>
        <w:tc>
          <w:tcPr>
            <w:tcW w:w="6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6/18/25</w:t>
            </w:r>
          </w:p>
        </w:tc>
        <w:tc>
          <w:tcPr>
            <w:tcW w:w="0" w:type="dxa"/>
            <w:vAlign w:val="bottom"/>
          </w:tcPr>
          <w:p>
            <w:pPr>
              <w:spacing w:after="0"/>
              <w:rPr>
                <w:sz w:val="1"/>
                <w:szCs w:val="1"/>
                <w:color w:val="auto"/>
              </w:rPr>
            </w:pPr>
          </w:p>
        </w:tc>
      </w:tr>
      <w:tr>
        <w:trPr>
          <w:trHeight w:val="247"/>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60" w:type="dxa"/>
            <w:vAlign w:val="bottom"/>
            <w:shd w:val="clear" w:color="auto" w:fill="CCEEFF"/>
          </w:tcPr>
          <w:p>
            <w:pPr>
              <w:spacing w:after="0"/>
              <w:rPr>
                <w:sz w:val="21"/>
                <w:szCs w:val="21"/>
                <w:color w:val="auto"/>
              </w:rPr>
            </w:pPr>
          </w:p>
        </w:tc>
        <w:tc>
          <w:tcPr>
            <w:tcW w:w="74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Intercreditor Agreement +</w:t>
            </w:r>
          </w:p>
        </w:tc>
        <w:tc>
          <w:tcPr>
            <w:tcW w:w="12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10.6</w:t>
            </w:r>
          </w:p>
        </w:tc>
        <w:tc>
          <w:tcPr>
            <w:tcW w:w="60" w:type="dxa"/>
            <w:vAlign w:val="bottom"/>
            <w:shd w:val="clear" w:color="auto" w:fill="CCEEFF"/>
          </w:tcPr>
          <w:p>
            <w:pPr>
              <w:spacing w:after="0"/>
              <w:rPr>
                <w:sz w:val="21"/>
                <w:szCs w:val="21"/>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6/18/25</w:t>
            </w:r>
          </w:p>
        </w:tc>
        <w:tc>
          <w:tcPr>
            <w:tcW w:w="0" w:type="dxa"/>
            <w:vAlign w:val="bottom"/>
          </w:tcPr>
          <w:p>
            <w:pPr>
              <w:spacing w:after="0"/>
              <w:rPr>
                <w:sz w:val="1"/>
                <w:szCs w:val="1"/>
                <w:color w:val="auto"/>
              </w:rPr>
            </w:pPr>
          </w:p>
        </w:tc>
      </w:tr>
      <w:tr>
        <w:trPr>
          <w:trHeight w:val="239"/>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60" w:type="dxa"/>
            <w:vAlign w:val="bottom"/>
          </w:tcPr>
          <w:p>
            <w:pPr>
              <w:spacing w:after="0"/>
              <w:rPr>
                <w:sz w:val="20"/>
                <w:szCs w:val="20"/>
                <w:color w:val="auto"/>
              </w:rPr>
            </w:pPr>
          </w:p>
        </w:tc>
        <w:tc>
          <w:tcPr>
            <w:tcW w:w="74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Form of Stock Option Agreement</w:t>
            </w: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6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10/15/25</w:t>
            </w:r>
          </w:p>
        </w:tc>
        <w:tc>
          <w:tcPr>
            <w:tcW w:w="0" w:type="dxa"/>
            <w:vAlign w:val="bottom"/>
          </w:tcPr>
          <w:p>
            <w:pPr>
              <w:spacing w:after="0"/>
              <w:rPr>
                <w:sz w:val="1"/>
                <w:szCs w:val="1"/>
                <w:color w:val="auto"/>
              </w:rPr>
            </w:pPr>
          </w:p>
        </w:tc>
      </w:tr>
      <w:tr>
        <w:trPr>
          <w:trHeight w:val="247"/>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60" w:type="dxa"/>
            <w:vAlign w:val="bottom"/>
            <w:shd w:val="clear" w:color="auto" w:fill="CCEEFF"/>
          </w:tcPr>
          <w:p>
            <w:pPr>
              <w:spacing w:after="0"/>
              <w:rPr>
                <w:sz w:val="21"/>
                <w:szCs w:val="21"/>
                <w:color w:val="auto"/>
              </w:rPr>
            </w:pPr>
          </w:p>
        </w:tc>
        <w:tc>
          <w:tcPr>
            <w:tcW w:w="74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Forbearance Agreement +</w:t>
            </w:r>
          </w:p>
        </w:tc>
        <w:tc>
          <w:tcPr>
            <w:tcW w:w="12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60" w:type="dxa"/>
            <w:vAlign w:val="bottom"/>
            <w:shd w:val="clear" w:color="auto" w:fill="CCEEFF"/>
          </w:tcPr>
          <w:p>
            <w:pPr>
              <w:spacing w:after="0"/>
              <w:rPr>
                <w:sz w:val="21"/>
                <w:szCs w:val="21"/>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10/28/25</w:t>
            </w:r>
          </w:p>
        </w:tc>
        <w:tc>
          <w:tcPr>
            <w:tcW w:w="0" w:type="dxa"/>
            <w:vAlign w:val="bottom"/>
          </w:tcPr>
          <w:p>
            <w:pPr>
              <w:spacing w:after="0"/>
              <w:rPr>
                <w:sz w:val="1"/>
                <w:szCs w:val="1"/>
                <w:color w:val="auto"/>
              </w:rPr>
            </w:pPr>
          </w:p>
        </w:tc>
      </w:tr>
      <w:tr>
        <w:trPr>
          <w:trHeight w:val="239"/>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60" w:type="dxa"/>
            <w:vAlign w:val="bottom"/>
          </w:tcPr>
          <w:p>
            <w:pPr>
              <w:spacing w:after="0"/>
              <w:rPr>
                <w:sz w:val="20"/>
                <w:szCs w:val="20"/>
                <w:color w:val="auto"/>
              </w:rPr>
            </w:pPr>
          </w:p>
        </w:tc>
        <w:tc>
          <w:tcPr>
            <w:tcW w:w="74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Form of Securities Purchase Agreement +</w:t>
            </w: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6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10/28/25</w:t>
            </w:r>
          </w:p>
        </w:tc>
        <w:tc>
          <w:tcPr>
            <w:tcW w:w="0" w:type="dxa"/>
            <w:vAlign w:val="bottom"/>
          </w:tcPr>
          <w:p>
            <w:pPr>
              <w:spacing w:after="0"/>
              <w:rPr>
                <w:sz w:val="1"/>
                <w:szCs w:val="1"/>
                <w:color w:val="auto"/>
              </w:rPr>
            </w:pPr>
          </w:p>
        </w:tc>
      </w:tr>
      <w:tr>
        <w:trPr>
          <w:trHeight w:val="247"/>
        </w:trPr>
        <w:tc>
          <w:tcPr>
            <w:tcW w:w="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60" w:type="dxa"/>
            <w:vAlign w:val="bottom"/>
            <w:shd w:val="clear" w:color="auto" w:fill="CCEEFF"/>
          </w:tcPr>
          <w:p>
            <w:pPr>
              <w:spacing w:after="0"/>
              <w:rPr>
                <w:sz w:val="21"/>
                <w:szCs w:val="21"/>
                <w:color w:val="auto"/>
              </w:rPr>
            </w:pPr>
          </w:p>
        </w:tc>
        <w:tc>
          <w:tcPr>
            <w:tcW w:w="744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Form of Securities Purchase Agreement</w:t>
            </w:r>
          </w:p>
        </w:tc>
        <w:tc>
          <w:tcPr>
            <w:tcW w:w="12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60" w:type="dxa"/>
            <w:vAlign w:val="bottom"/>
            <w:shd w:val="clear" w:color="auto" w:fill="CCEEFF"/>
          </w:tcPr>
          <w:p>
            <w:pPr>
              <w:spacing w:after="0"/>
              <w:rPr>
                <w:sz w:val="21"/>
                <w:szCs w:val="21"/>
                <w:color w:val="auto"/>
              </w:rPr>
            </w:pPr>
          </w:p>
        </w:tc>
        <w:tc>
          <w:tcPr>
            <w:tcW w:w="6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4/8/26</w:t>
            </w:r>
          </w:p>
        </w:tc>
        <w:tc>
          <w:tcPr>
            <w:tcW w:w="0" w:type="dxa"/>
            <w:vAlign w:val="bottom"/>
          </w:tcPr>
          <w:p>
            <w:pPr>
              <w:spacing w:after="0"/>
              <w:rPr>
                <w:sz w:val="1"/>
                <w:szCs w:val="1"/>
                <w:color w:val="auto"/>
              </w:rPr>
            </w:pPr>
          </w:p>
        </w:tc>
      </w:tr>
      <w:tr>
        <w:trPr>
          <w:trHeight w:val="239"/>
        </w:trPr>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60" w:type="dxa"/>
            <w:vAlign w:val="bottom"/>
          </w:tcPr>
          <w:p>
            <w:pPr>
              <w:spacing w:after="0"/>
              <w:rPr>
                <w:sz w:val="20"/>
                <w:szCs w:val="20"/>
                <w:color w:val="auto"/>
              </w:rPr>
            </w:pPr>
          </w:p>
        </w:tc>
        <w:tc>
          <w:tcPr>
            <w:tcW w:w="74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Form of Registration Rights Agreement</w:t>
            </w: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8-K</w:t>
            </w: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6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4/8/26</w:t>
            </w:r>
          </w:p>
        </w:tc>
        <w:tc>
          <w:tcPr>
            <w:tcW w:w="0" w:type="dxa"/>
            <w:vAlign w:val="bottom"/>
          </w:tcPr>
          <w:p>
            <w:pPr>
              <w:spacing w:after="0"/>
              <w:rPr>
                <w:sz w:val="1"/>
                <w:szCs w:val="1"/>
                <w:color w:val="auto"/>
              </w:rPr>
            </w:pPr>
          </w:p>
        </w:tc>
      </w:tr>
      <w:tr>
        <w:trPr>
          <w:trHeight w:val="180"/>
        </w:trPr>
        <w:tc>
          <w:tcPr>
            <w:tcW w:w="68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8"/>
                <w:szCs w:val="18"/>
                <w:color w:val="auto"/>
              </w:rPr>
              <w:t>31.1</w:t>
            </w:r>
          </w:p>
        </w:tc>
        <w:tc>
          <w:tcPr>
            <w:tcW w:w="60" w:type="dxa"/>
            <w:vAlign w:val="bottom"/>
            <w:shd w:val="clear" w:color="auto" w:fill="CCEEFF"/>
          </w:tcPr>
          <w:p>
            <w:pPr>
              <w:spacing w:after="0"/>
              <w:rPr>
                <w:sz w:val="15"/>
                <w:szCs w:val="15"/>
                <w:color w:val="auto"/>
              </w:rPr>
            </w:pPr>
          </w:p>
        </w:tc>
        <w:tc>
          <w:tcPr>
            <w:tcW w:w="7440" w:type="dxa"/>
            <w:vAlign w:val="bottom"/>
            <w:gridSpan w:val="7"/>
            <w:shd w:val="clear" w:color="auto" w:fill="CCEEFF"/>
          </w:tcPr>
          <w:p>
            <w:pPr>
              <w:spacing w:after="0" w:line="180" w:lineRule="exact"/>
              <w:rPr>
                <w:sz w:val="20"/>
                <w:szCs w:val="20"/>
                <w:color w:val="auto"/>
              </w:rPr>
            </w:pPr>
            <w:r>
              <w:rPr>
                <w:rFonts w:ascii="Times New Roman" w:cs="Times New Roman" w:eastAsia="Times New Roman" w:hAnsi="Times New Roman"/>
                <w:sz w:val="18"/>
                <w:szCs w:val="18"/>
                <w:color w:val="0000EE"/>
              </w:rPr>
              <w:t>Certification of the Principal Executive Officer pursuant to Rules 13a-14(a) and 15d-14(a), as adopted</w:t>
            </w:r>
          </w:p>
        </w:tc>
        <w:tc>
          <w:tcPr>
            <w:tcW w:w="1240" w:type="dxa"/>
            <w:vAlign w:val="bottom"/>
            <w:shd w:val="clear" w:color="auto" w:fill="CCEEFF"/>
          </w:tcPr>
          <w:p>
            <w:pPr>
              <w:jc w:val="center"/>
              <w:spacing w:after="0" w:line="180" w:lineRule="exact"/>
              <w:rPr>
                <w:sz w:val="20"/>
                <w:szCs w:val="20"/>
                <w:color w:val="auto"/>
              </w:rPr>
            </w:pPr>
            <w:r>
              <w:rPr>
                <w:rFonts w:ascii="Times New Roman" w:cs="Times New Roman" w:eastAsia="Times New Roman" w:hAnsi="Times New Roman"/>
                <w:sz w:val="18"/>
                <w:szCs w:val="18"/>
                <w:color w:val="auto"/>
                <w:w w:val="95"/>
              </w:rPr>
              <w:t>(1)</w:t>
            </w: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7340" w:type="dxa"/>
            <w:vAlign w:val="bottom"/>
            <w:tcBorders>
              <w:top w:val="single" w:sz="8" w:color="0000EE"/>
            </w:tcBorders>
            <w:gridSpan w:val="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pursuant to Section 302 of the Sarbanes-Oxley Act of 2002.</w:t>
            </w:r>
          </w:p>
        </w:tc>
        <w:tc>
          <w:tcPr>
            <w:tcW w:w="100" w:type="dxa"/>
            <w:vAlign w:val="bottom"/>
            <w:tcBorders>
              <w:top w:val="single" w:sz="8" w:color="CCEEFF"/>
            </w:tcBorders>
            <w:gridSpan w:val="2"/>
            <w:shd w:val="clear" w:color="auto" w:fill="CCEEFF"/>
          </w:tcPr>
          <w:p>
            <w:pPr>
              <w:spacing w:after="0"/>
              <w:rPr>
                <w:sz w:val="17"/>
                <w:szCs w:val="17"/>
                <w:color w:val="auto"/>
              </w:rPr>
            </w:pPr>
          </w:p>
        </w:tc>
        <w:tc>
          <w:tcPr>
            <w:tcW w:w="12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300" w:type="dxa"/>
            <w:vAlign w:val="bottom"/>
            <w:tcBorders>
              <w:top w:val="single" w:sz="8" w:color="0000EE"/>
            </w:tcBorders>
            <w:shd w:val="clear" w:color="auto" w:fill="CCEEFF"/>
          </w:tcPr>
          <w:p>
            <w:pPr>
              <w:spacing w:after="0" w:line="20" w:lineRule="exact"/>
              <w:rPr>
                <w:sz w:val="1"/>
                <w:szCs w:val="1"/>
                <w:color w:val="auto"/>
              </w:rPr>
            </w:pPr>
          </w:p>
        </w:tc>
        <w:tc>
          <w:tcPr>
            <w:tcW w:w="184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8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31.2</w:t>
            </w:r>
          </w:p>
        </w:tc>
        <w:tc>
          <w:tcPr>
            <w:tcW w:w="60" w:type="dxa"/>
            <w:vAlign w:val="bottom"/>
          </w:tcPr>
          <w:p>
            <w:pPr>
              <w:spacing w:after="0"/>
              <w:rPr>
                <w:sz w:val="15"/>
                <w:szCs w:val="15"/>
                <w:color w:val="auto"/>
              </w:rPr>
            </w:pPr>
          </w:p>
        </w:tc>
        <w:tc>
          <w:tcPr>
            <w:tcW w:w="7300" w:type="dxa"/>
            <w:vAlign w:val="bottom"/>
            <w:tcBorders>
              <w:bottom w:val="single" w:sz="8" w:color="0000EE"/>
            </w:tcBorders>
            <w:gridSpan w:val="4"/>
          </w:tcPr>
          <w:p>
            <w:pPr>
              <w:spacing w:after="0" w:line="176" w:lineRule="exact"/>
              <w:rPr>
                <w:sz w:val="20"/>
                <w:szCs w:val="20"/>
                <w:color w:val="auto"/>
              </w:rPr>
            </w:pPr>
            <w:r>
              <w:rPr>
                <w:rFonts w:ascii="Times New Roman" w:cs="Times New Roman" w:eastAsia="Times New Roman" w:hAnsi="Times New Roman"/>
                <w:sz w:val="18"/>
                <w:szCs w:val="18"/>
                <w:color w:val="0000EE"/>
                <w:w w:val="99"/>
              </w:rPr>
              <w:t>Certification of the Principal Financial Officer pursuant to Rules 13a-14(a) and 15d-14(a), as adopted</w:t>
            </w:r>
          </w:p>
        </w:tc>
        <w:tc>
          <w:tcPr>
            <w:tcW w:w="140" w:type="dxa"/>
            <w:vAlign w:val="bottom"/>
            <w:gridSpan w:val="3"/>
          </w:tcPr>
          <w:p>
            <w:pPr>
              <w:spacing w:after="0"/>
              <w:rPr>
                <w:sz w:val="15"/>
                <w:szCs w:val="15"/>
                <w:color w:val="auto"/>
              </w:rPr>
            </w:pPr>
          </w:p>
        </w:tc>
        <w:tc>
          <w:tcPr>
            <w:tcW w:w="12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(1)</w:t>
            </w: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4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pursuant to Section 302 of the Sarbanes-Oxley Act of 2002.</w:t>
            </w: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00" w:type="dxa"/>
            <w:vAlign w:val="bottom"/>
            <w:tcBorders>
              <w:top w:val="single" w:sz="8" w:color="0000EE"/>
            </w:tcBorders>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68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60" w:type="dxa"/>
            <w:vAlign w:val="bottom"/>
            <w:shd w:val="clear" w:color="auto" w:fill="CCEEFF"/>
          </w:tcPr>
          <w:p>
            <w:pPr>
              <w:spacing w:after="0"/>
              <w:rPr>
                <w:sz w:val="15"/>
                <w:szCs w:val="15"/>
                <w:color w:val="auto"/>
              </w:rPr>
            </w:pPr>
          </w:p>
        </w:tc>
        <w:tc>
          <w:tcPr>
            <w:tcW w:w="7440" w:type="dxa"/>
            <w:vAlign w:val="bottom"/>
            <w:gridSpan w:val="7"/>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Certification of the Principal Executive Officer and Principal Financial Officer pursuant to 18 U.S.C</w:t>
            </w:r>
          </w:p>
        </w:tc>
        <w:tc>
          <w:tcPr>
            <w:tcW w:w="12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5"/>
              </w:rPr>
              <w:t>(2)</w:t>
            </w:r>
          </w:p>
        </w:tc>
        <w:tc>
          <w:tcPr>
            <w:tcW w:w="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6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220" w:type="dxa"/>
            <w:vAlign w:val="bottom"/>
            <w:tcBorders>
              <w:top w:val="single" w:sz="8" w:color="0000EE"/>
            </w:tcBorders>
            <w:gridSpan w:val="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Section 1350, as adopted pursuant to Section 906 of the Sarbanes-Oxley Act of 2002.</w:t>
            </w:r>
          </w:p>
        </w:tc>
        <w:tc>
          <w:tcPr>
            <w:tcW w:w="220" w:type="dxa"/>
            <w:vAlign w:val="bottom"/>
            <w:tcBorders>
              <w:top w:val="single" w:sz="8" w:color="CCEEFF"/>
            </w:tcBorders>
            <w:gridSpan w:val="4"/>
            <w:shd w:val="clear" w:color="auto" w:fill="CCEEFF"/>
          </w:tcPr>
          <w:p>
            <w:pPr>
              <w:spacing w:after="0"/>
              <w:rPr>
                <w:sz w:val="18"/>
                <w:szCs w:val="18"/>
                <w:color w:val="auto"/>
              </w:rPr>
            </w:pPr>
          </w:p>
        </w:tc>
        <w:tc>
          <w:tcPr>
            <w:tcW w:w="12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74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614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1300" w:type="dxa"/>
            <w:vAlign w:val="bottom"/>
            <w:tcBorders>
              <w:top w:val="single" w:sz="8" w:color="CCEEFF"/>
            </w:tcBorders>
            <w:gridSpan w:val="5"/>
          </w:tcPr>
          <w:p>
            <w:pPr>
              <w:spacing w:after="0"/>
              <w:rPr>
                <w:sz w:val="20"/>
                <w:szCs w:val="20"/>
                <w:color w:val="auto"/>
              </w:rPr>
            </w:pPr>
          </w:p>
        </w:tc>
        <w:tc>
          <w:tcPr>
            <w:tcW w:w="1240" w:type="dxa"/>
            <w:vAlign w:val="bottom"/>
            <w:tcBorders>
              <w:top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60" w:type="dxa"/>
            <w:vAlign w:val="bottom"/>
            <w:tcBorders>
              <w:top w:val="single" w:sz="8" w:color="CCEEFF"/>
            </w:tcBorders>
          </w:tcPr>
          <w:p>
            <w:pPr>
              <w:spacing w:after="0"/>
              <w:rPr>
                <w:sz w:val="20"/>
                <w:szCs w:val="20"/>
                <w:color w:val="auto"/>
              </w:rPr>
            </w:pPr>
          </w:p>
        </w:tc>
        <w:tc>
          <w:tcPr>
            <w:tcW w:w="42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580" w:type="dxa"/>
            <w:vAlign w:val="bottom"/>
            <w:tcBorders>
              <w:top w:val="single" w:sz="8" w:color="CCEEFF"/>
            </w:tcBorders>
          </w:tcPr>
          <w:p>
            <w:pPr>
              <w:spacing w:after="0"/>
              <w:rPr>
                <w:sz w:val="20"/>
                <w:szCs w:val="20"/>
                <w:color w:val="auto"/>
              </w:rPr>
            </w:pPr>
          </w:p>
        </w:tc>
        <w:tc>
          <w:tcPr>
            <w:tcW w:w="60" w:type="dxa"/>
            <w:vAlign w:val="bottom"/>
            <w:tcBorders>
              <w:top w:val="single" w:sz="8" w:color="CCEEFF"/>
            </w:tcBorders>
          </w:tcPr>
          <w:p>
            <w:pPr>
              <w:spacing w:after="0"/>
              <w:rPr>
                <w:sz w:val="20"/>
                <w:szCs w:val="20"/>
                <w:color w:val="auto"/>
              </w:rPr>
            </w:pPr>
          </w:p>
        </w:tc>
        <w:tc>
          <w:tcPr>
            <w:tcW w:w="640" w:type="dxa"/>
            <w:vAlign w:val="bottom"/>
            <w:tcBorders>
              <w:top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818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 Inline XBRL Taxonomy Extension Schema</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1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101.CAL Inline XBRL Taxonomy Extension Calculation Linkbase</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818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 Inline XBRL Taxonomy Extension Definition Linkbase</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81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101.LAB Inline XBRL Taxonomy Extension Label Linkbase</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818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 Inline XBRL Taxonomy Extension Presentation Linkbase</w:t>
            </w:r>
          </w:p>
        </w:tc>
        <w:tc>
          <w:tcPr>
            <w:tcW w:w="1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0" w:type="dxa"/>
            <w:vAlign w:val="bottom"/>
          </w:tcPr>
          <w:p>
            <w:pPr>
              <w:spacing w:after="0"/>
              <w:rPr>
                <w:sz w:val="20"/>
                <w:szCs w:val="20"/>
                <w:color w:val="auto"/>
              </w:rPr>
            </w:pPr>
          </w:p>
        </w:tc>
        <w:tc>
          <w:tcPr>
            <w:tcW w:w="74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34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schedules, appendices and exhibits to this agreement have been omitted in accordance with Item 601(b)(2) of Regulation S-K. A copy of any omitted schedule and/or exhibit will be furnished supplementally to the SEC Staff upon request.</w:t>
      </w:r>
    </w:p>
    <w:p>
      <w:pPr>
        <w:spacing w:after="0" w:line="162"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Indicates management contract or compensatory plan, contract or agreement.</w:t>
      </w:r>
    </w:p>
    <w:p>
      <w:pPr>
        <w:spacing w:after="0" w:line="19"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(1)  Filed herein</w:t>
      </w:r>
    </w:p>
    <w:p>
      <w:pPr>
        <w:spacing w:after="0" w:line="7"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(2)  Furnished herein.</w:t>
      </w:r>
    </w:p>
    <w:p>
      <w:pPr>
        <w:spacing w:after="0" w:line="21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22" w:name="page23"/>
    <w:bookmarkEnd w:id="2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20" w:type="dxa"/>
            <w:vAlign w:val="bottom"/>
          </w:tcPr>
          <w:p>
            <w:pPr>
              <w:spacing w:after="0"/>
              <w:rPr>
                <w:sz w:val="20"/>
                <w:szCs w:val="20"/>
                <w:color w:val="auto"/>
              </w:rPr>
            </w:pPr>
          </w:p>
        </w:tc>
        <w:tc>
          <w:tcPr>
            <w:tcW w:w="4580" w:type="dxa"/>
            <w:vAlign w:val="bottom"/>
          </w:tcPr>
          <w:p>
            <w:pPr>
              <w:ind w:left="2420"/>
              <w:spacing w:after="0"/>
              <w:rPr>
                <w:sz w:val="20"/>
                <w:szCs w:val="20"/>
                <w:color w:val="auto"/>
              </w:rPr>
            </w:pPr>
            <w:r>
              <w:rPr>
                <w:rFonts w:ascii="Times New Roman" w:cs="Times New Roman" w:eastAsia="Times New Roman" w:hAnsi="Times New Roman"/>
                <w:sz w:val="18"/>
                <w:szCs w:val="18"/>
                <w:b w:val="1"/>
                <w:bCs w:val="1"/>
                <w:color w:val="auto"/>
                <w:w w:val="97"/>
              </w:rPr>
              <w:t>ZAPATA QUANTUM, INC.</w:t>
            </w:r>
          </w:p>
        </w:tc>
      </w:tr>
      <w:tr>
        <w:trPr>
          <w:trHeight w:val="459"/>
        </w:trPr>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May 15, 2026</w:t>
            </w:r>
          </w:p>
        </w:tc>
        <w:tc>
          <w:tcPr>
            <w:tcW w:w="458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Sumit Kapur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0</wp:posOffset>
            </wp:positionV>
            <wp:extent cx="323151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231515" cy="8890"/>
                    </a:xfrm>
                    <a:prstGeom prst="rect">
                      <a:avLst/>
                    </a:prstGeom>
                    <a:noFill/>
                  </pic:spPr>
                </pic:pic>
              </a:graphicData>
            </a:graphic>
          </wp:anchor>
        </w:drawing>
      </w:r>
    </w:p>
    <w:p>
      <w:pPr>
        <w:ind w:left="6160"/>
        <w:spacing w:after="0"/>
        <w:rPr>
          <w:sz w:val="20"/>
          <w:szCs w:val="20"/>
          <w:color w:val="auto"/>
        </w:rPr>
      </w:pPr>
      <w:r>
        <w:rPr>
          <w:rFonts w:ascii="Times New Roman" w:cs="Times New Roman" w:eastAsia="Times New Roman" w:hAnsi="Times New Roman"/>
          <w:sz w:val="18"/>
          <w:szCs w:val="18"/>
          <w:color w:val="auto"/>
        </w:rPr>
        <w:t>Sumit Kapur</w:t>
      </w:r>
    </w:p>
    <w:p>
      <w:pPr>
        <w:spacing w:after="0" w:line="23"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Chief Executive Officer, Chief Financial Officer</w:t>
      </w:r>
    </w:p>
    <w:p>
      <w:pPr>
        <w:spacing w:after="0" w:line="3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3" w:name="page24"/>
    <w:bookmarkEnd w:id="2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4" w:name="page25"/>
    <w:bookmarkEnd w:id="24"/>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Sumit Kapur, certify that:</w:t>
      </w:r>
    </w:p>
    <w:p>
      <w:pPr>
        <w:spacing w:after="0" w:line="225" w:lineRule="exact"/>
        <w:rPr>
          <w:sz w:val="20"/>
          <w:szCs w:val="20"/>
          <w:color w:val="auto"/>
        </w:rPr>
      </w:pPr>
    </w:p>
    <w:p>
      <w:pPr>
        <w:ind w:left="180" w:hanging="172"/>
        <w:spacing w:after="0"/>
        <w:tabs>
          <w:tab w:leader="none" w:pos="1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Zapata Quantum,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09"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4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71"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869"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51"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9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837"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45"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15, 2026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Sumit Kapur</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Sumit Kapur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506095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Sumit Kapur, certify that:</w:t>
      </w:r>
    </w:p>
    <w:p>
      <w:pPr>
        <w:spacing w:after="0" w:line="225" w:lineRule="exact"/>
        <w:rPr>
          <w:sz w:val="20"/>
          <w:szCs w:val="20"/>
          <w:color w:val="auto"/>
        </w:rPr>
      </w:pPr>
    </w:p>
    <w:p>
      <w:pPr>
        <w:ind w:left="180" w:hanging="172"/>
        <w:spacing w:after="0"/>
        <w:tabs>
          <w:tab w:leader="none" w:pos="1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Zapata Quantum,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201"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20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20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42"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87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869"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851"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19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837"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4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15, 2026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Sumit Kapur</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Sumit Kapur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Zapata Quantum, Inc. (the “Company”) on Form 10-Q for the quarter ended March 31, 2026, as filed with the Securities and Exchange Commission on the date hereof, I, Sumit Kapur, certify, pursuant to 18 U.S.C. Sec.1350, as adopted pursuant to Sec.906 of the Sarbanes-Oxley Act of 2002, that to my knowledge:</w:t>
      </w:r>
    </w:p>
    <w:p>
      <w:pPr>
        <w:spacing w:after="0" w:line="176" w:lineRule="exact"/>
        <w:rPr>
          <w:sz w:val="20"/>
          <w:szCs w:val="20"/>
          <w:color w:val="auto"/>
        </w:rPr>
      </w:pPr>
    </w:p>
    <w:p>
      <w:pPr>
        <w:ind w:left="180" w:hanging="172"/>
        <w:spacing w:after="0"/>
        <w:tabs>
          <w:tab w:leader="none" w:pos="1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20" w:firstLine="8"/>
        <w:spacing w:after="0" w:line="282" w:lineRule="auto"/>
        <w:tabs>
          <w:tab w:leader="none" w:pos="21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quarterly report fairly presents, in all material respects, the financial condition and results of operations of the Company.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 Sumit Kapur</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Sumit Kapur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5661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and Chief Financial Officer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 and Principal Financial Officer)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15, 2026</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lvl w:ilvl="1">
      <w:lvlJc w:val="left"/>
      <w:lvlText w:val="%2)"/>
      <w:numFmt w:val="lowerLetter"/>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2026-05-15T07:37:46Z</dcterms:created>
  <dcterms:modified xsi:type="dcterms:W3CDTF">2026-05-15T07:37:46Z</dcterms:modified>
</cp:coreProperties>
</file>