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zpat_424b3.htm"/>
      <w:bookmarkStart w:id="1" w:name="kszpat_424b3"/>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333-296525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56,816,391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the registration statement which relates to the sale or other disposition from time to time by the selling stockholders identified in this Prospectus (the “Selling Stockholders”) of up to 56,816,391 shares of the Common Stock, par value $0.0001 per share (“Common Stock”) of Zapata Quantum, Inc. (“Zapata,” the “Company,” “we,” “our”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to which this Prospectus relates consist of the following: (i) up to 4,892,000 shares of Common Stock which may be issued upon the conversion of Series C Convertible Preferred Stock issued in 2025 in satisfaction of certain obligations of the Company contained in the Consent and the Conversion Agreements the Company entered into in 2025 (the “Series C”), (ii) up to 34,160,786 shares of Common Stock which may be issued upon the conversion of Series D Convertible Preferred Stock issued in 2026 (the “Series D”), (iii) up to 17,080,390 shares of Common Stock which may be issued upon the exercise of warrants issued in connection with the Series D in 2026 (the “2026 Warrants”), and (iv) up to 683,215 shares of Common Stock which may be issued upon the exercise of warrants issued in 2026 in connection with certain financing activities (the “2026 Financing Activity Warrants,” together with the 2026 Warrants and the 2025 Warrants, the “Warrants”, and all securities referred to in (i) through (iv) above, collectively, the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All of the Common Stock, when sold, will be sold by the Selling Stockholders. We are not selling any Common Stock under this Prospectus and will not receive any of the proceeds from the sale or other disposition of the Common Stock by the selling stockholders. We will, however, receive the net proceeds of any Warrants exercised for cash, if any. The Selling Stockholders received shares of Common Stock, and became entitled to receive the shares of Common Stock which are issuable upon their conversion or exercise of the Convertible Securities, which shares of Common Stock are in each such case offered by this Prospectus, in private placement transactions consummated from June 2025 through April 2026 in reliance on exemptions from registration under the Securities Act of 1933 (the “Securities Act”). Please see the section entitled “</w:t>
      </w:r>
      <w:hyperlink w:anchor="s1_007">
        <w:r>
          <w:rPr>
            <w:rStyle w:val="InternetLink"/>
            <w:rFonts w:ascii="Times New Roman;Times;Serif" w:hAnsi="Times New Roman;Times;Serif"/>
            <w:b w:val="false"/>
            <w:i w:val="false"/>
            <w:caps w:val="false"/>
            <w:smallCaps w:val="false"/>
            <w:sz w:val="20"/>
          </w:rPr>
          <w:t>Private Placements</w:t>
        </w:r>
      </w:hyperlink>
      <w:r>
        <w:rPr>
          <w:rFonts w:ascii="Times New Roman;Times;Serif" w:hAnsi="Times New Roman;Times;Serif"/>
          <w:b w:val="false"/>
          <w:i w:val="false"/>
          <w:caps w:val="false"/>
          <w:smallCaps w:val="false"/>
          <w:sz w:val="20"/>
        </w:rPr>
        <w:t>” on page 40 of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Selling Stockholders may sell or otherwise dispose of the Common Stock covered by this Prospectus in a number of different ways and at varying prices. We provide more information about how the Selling Stockholders may sell or otherwise dispose of the Common Stock covered by this Prospectus in the section entitled “</w:t>
      </w:r>
      <w:hyperlink w:anchor="s1_009">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on page 43. For information on the selling stockholders, see the section entitled “</w:t>
      </w:r>
      <w:hyperlink w:anchor="s1_019">
        <w:r>
          <w:rPr>
            <w:rStyle w:val="InternetLink"/>
            <w:rFonts w:ascii="Times New Roman;Times;Serif" w:hAnsi="Times New Roman;Times;Serif"/>
            <w:b w:val="false"/>
            <w:i w:val="false"/>
            <w:caps w:val="false"/>
            <w:smallCaps w:val="false"/>
            <w:sz w:val="20"/>
          </w:rPr>
          <w:t>Selling Stockholders</w:t>
        </w:r>
      </w:hyperlink>
      <w:r>
        <w:rPr>
          <w:rFonts w:ascii="Times New Roman;Times;Serif" w:hAnsi="Times New Roman;Times;Serif"/>
          <w:b w:val="false"/>
          <w:i w:val="false"/>
          <w:caps w:val="false"/>
          <w:smallCaps w:val="false"/>
          <w:sz w:val="20"/>
        </w:rPr>
        <w:t>” on page 81 of this Prospectus. Discounts, concessions, commissions and similar selling expenses attributable to the sale of Common Stock covered by this Prospectus will be borne by the Selling Stockholders. We will pay all expenses (other than discounts, concessions, commissions and similar selling expenses) relating to the registration of the Common Stock with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OTCQB under the symbol “ZPTA.” On July 8, 2026 the last reported sales price for our Common Stock was $1.03 per share. Prospective purchasers of our securities are urged to obtain current information as to the market prices of our securities,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An investment in our securities is subject to certain risks and should be made only by persons or entities able to bear the risk of and to withstand the total loss of their investment. Prospective investors should carefully consider and review the “</w:t>
      </w:r>
      <w:hyperlink w:anchor="s1_006">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or other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dated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1_001"/>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Page</w:t>
            </w:r>
          </w:p>
        </w:tc>
      </w:tr>
      <w:tr>
        <w:trPr/>
        <w:tc>
          <w:tcPr>
            <w:tcW w:w="9750" w:type="dxa"/>
            <w:tcBorders/>
            <w:shd w:fill="CCEEFF" w:val="clear"/>
            <w:vAlign w:val="center"/>
          </w:tcPr>
          <w:p>
            <w:pPr>
              <w:pStyle w:val="TableContents"/>
              <w:bidi w:val="0"/>
              <w:spacing w:before="0" w:after="283"/>
              <w:jc w:val="left"/>
              <w:rPr/>
            </w:pPr>
            <w:hyperlink w:anchor="s1_002">
              <w:r>
                <w:rPr>
                  <w:rStyle w:val="InternetLink"/>
                  <w:sz w:val="20"/>
                </w:rPr>
                <w:t>CAUTIONARY NOTE REGARDING FORWARD-LOOKING STATEMENTS</w:t>
              </w:r>
            </w:hyperlink>
          </w:p>
        </w:tc>
        <w:tc>
          <w:tcPr>
            <w:tcW w:w="455" w:type="dxa"/>
            <w:tcBorders/>
            <w:shd w:fill="CCEEFF" w:val="clear"/>
            <w:vAlign w:val="center"/>
          </w:tcPr>
          <w:p>
            <w:pPr>
              <w:pStyle w:val="TableContents"/>
              <w:bidi w:val="0"/>
              <w:spacing w:before="0" w:after="283"/>
              <w:jc w:val="right"/>
              <w:rPr>
                <w:sz w:val="20"/>
              </w:rPr>
            </w:pPr>
            <w:r>
              <w:rPr>
                <w:sz w:val="20"/>
              </w:rPr>
              <w:t>1</w:t>
            </w:r>
          </w:p>
        </w:tc>
      </w:tr>
      <w:tr>
        <w:trPr/>
        <w:tc>
          <w:tcPr>
            <w:tcW w:w="9750" w:type="dxa"/>
            <w:tcBorders/>
            <w:shd w:fill="FFFFFF" w:val="clear"/>
            <w:vAlign w:val="center"/>
          </w:tcPr>
          <w:p>
            <w:pPr>
              <w:pStyle w:val="TableContents"/>
              <w:bidi w:val="0"/>
              <w:spacing w:before="0" w:after="283"/>
              <w:jc w:val="left"/>
              <w:rPr/>
            </w:pPr>
            <w:hyperlink w:anchor="s1_003">
              <w:r>
                <w:rPr>
                  <w:rStyle w:val="InternetLink"/>
                  <w:sz w:val="20"/>
                </w:rPr>
                <w:t>FREQUENTLY USED TERMS</w:t>
              </w:r>
            </w:hyperlink>
          </w:p>
        </w:tc>
        <w:tc>
          <w:tcPr>
            <w:tcW w:w="455" w:type="dxa"/>
            <w:tcBorders/>
            <w:shd w:fill="FFFFFF" w:val="clear"/>
            <w:vAlign w:val="center"/>
          </w:tcPr>
          <w:p>
            <w:pPr>
              <w:pStyle w:val="TableContents"/>
              <w:bidi w:val="0"/>
              <w:spacing w:before="0" w:after="283"/>
              <w:jc w:val="right"/>
              <w:rPr/>
            </w:pPr>
            <w:r>
              <w:rPr/>
              <w:t>2</w:t>
            </w:r>
          </w:p>
        </w:tc>
      </w:tr>
      <w:tr>
        <w:trPr/>
        <w:tc>
          <w:tcPr>
            <w:tcW w:w="9750" w:type="dxa"/>
            <w:tcBorders/>
            <w:shd w:fill="CCEEFF" w:val="clear"/>
            <w:vAlign w:val="center"/>
          </w:tcPr>
          <w:p>
            <w:pPr>
              <w:pStyle w:val="TableContents"/>
              <w:bidi w:val="0"/>
              <w:spacing w:before="0" w:after="283"/>
              <w:jc w:val="left"/>
              <w:rPr/>
            </w:pPr>
            <w:hyperlink w:anchor="s1_004">
              <w:r>
                <w:rPr>
                  <w:rStyle w:val="InternetLink"/>
                  <w:sz w:val="20"/>
                </w:rPr>
                <w:t>PROSPECTUS SUMMARY</w:t>
              </w:r>
            </w:hyperlink>
          </w:p>
        </w:tc>
        <w:tc>
          <w:tcPr>
            <w:tcW w:w="455" w:type="dxa"/>
            <w:tcBorders/>
            <w:shd w:fill="CCEEFF" w:val="clear"/>
            <w:vAlign w:val="center"/>
          </w:tcPr>
          <w:p>
            <w:pPr>
              <w:pStyle w:val="TableContents"/>
              <w:bidi w:val="0"/>
              <w:spacing w:before="0" w:after="283"/>
              <w:jc w:val="right"/>
              <w:rPr/>
            </w:pPr>
            <w:r>
              <w:rPr/>
              <w:t>3</w:t>
            </w:r>
          </w:p>
        </w:tc>
      </w:tr>
      <w:tr>
        <w:trPr/>
        <w:tc>
          <w:tcPr>
            <w:tcW w:w="9750" w:type="dxa"/>
            <w:tcBorders/>
            <w:shd w:fill="FFFFFF" w:val="clear"/>
            <w:vAlign w:val="center"/>
          </w:tcPr>
          <w:p>
            <w:pPr>
              <w:pStyle w:val="TableContents"/>
              <w:bidi w:val="0"/>
              <w:spacing w:before="0" w:after="283"/>
              <w:jc w:val="left"/>
              <w:rPr/>
            </w:pPr>
            <w:hyperlink w:anchor="s1_006">
              <w:r>
                <w:rPr>
                  <w:rStyle w:val="InternetLink"/>
                  <w:sz w:val="20"/>
                </w:rPr>
                <w:t>RISK FACTORS</w:t>
              </w:r>
            </w:hyperlink>
          </w:p>
        </w:tc>
        <w:tc>
          <w:tcPr>
            <w:tcW w:w="455" w:type="dxa"/>
            <w:tcBorders/>
            <w:shd w:fill="FFFFFF" w:val="clear"/>
            <w:vAlign w:val="center"/>
          </w:tcPr>
          <w:p>
            <w:pPr>
              <w:pStyle w:val="TableContents"/>
              <w:bidi w:val="0"/>
              <w:spacing w:before="0" w:after="283"/>
              <w:jc w:val="right"/>
              <w:rPr/>
            </w:pPr>
            <w:r>
              <w:rPr/>
              <w:t>8</w:t>
            </w:r>
          </w:p>
        </w:tc>
      </w:tr>
      <w:tr>
        <w:trPr/>
        <w:tc>
          <w:tcPr>
            <w:tcW w:w="9750" w:type="dxa"/>
            <w:tcBorders/>
            <w:shd w:fill="CCEEFF" w:val="clear"/>
            <w:vAlign w:val="center"/>
          </w:tcPr>
          <w:p>
            <w:pPr>
              <w:pStyle w:val="TableContents"/>
              <w:bidi w:val="0"/>
              <w:spacing w:before="0" w:after="283"/>
              <w:jc w:val="left"/>
              <w:rPr/>
            </w:pPr>
            <w:hyperlink w:anchor="s1_007">
              <w:r>
                <w:rPr>
                  <w:rStyle w:val="InternetLink"/>
                  <w:sz w:val="20"/>
                </w:rPr>
                <w:t>THE PRIVATE PLACEMENTS</w:t>
              </w:r>
            </w:hyperlink>
          </w:p>
        </w:tc>
        <w:tc>
          <w:tcPr>
            <w:tcW w:w="455" w:type="dxa"/>
            <w:tcBorders/>
            <w:shd w:fill="CCEEFF" w:val="clear"/>
            <w:vAlign w:val="center"/>
          </w:tcPr>
          <w:p>
            <w:pPr>
              <w:pStyle w:val="TableContents"/>
              <w:bidi w:val="0"/>
              <w:spacing w:before="0" w:after="283"/>
              <w:jc w:val="right"/>
              <w:rPr>
                <w:sz w:val="20"/>
              </w:rPr>
            </w:pPr>
            <w:r>
              <w:rPr>
                <w:sz w:val="20"/>
              </w:rPr>
              <w:t>40</w:t>
            </w:r>
          </w:p>
        </w:tc>
      </w:tr>
      <w:tr>
        <w:trPr/>
        <w:tc>
          <w:tcPr>
            <w:tcW w:w="9750" w:type="dxa"/>
            <w:tcBorders/>
            <w:shd w:fill="FFFFFF" w:val="clear"/>
            <w:vAlign w:val="center"/>
          </w:tcPr>
          <w:p>
            <w:pPr>
              <w:pStyle w:val="TableContents"/>
              <w:bidi w:val="0"/>
              <w:spacing w:before="0" w:after="283"/>
              <w:jc w:val="left"/>
              <w:rPr/>
            </w:pPr>
            <w:hyperlink w:anchor="s1_008">
              <w:r>
                <w:rPr>
                  <w:rStyle w:val="InternetLink"/>
                  <w:sz w:val="20"/>
                </w:rPr>
                <w:t>USE OF PROCEEDS</w:t>
              </w:r>
            </w:hyperlink>
          </w:p>
        </w:tc>
        <w:tc>
          <w:tcPr>
            <w:tcW w:w="455" w:type="dxa"/>
            <w:tcBorders/>
            <w:shd w:fill="FFFFFF" w:val="clear"/>
            <w:vAlign w:val="center"/>
          </w:tcPr>
          <w:p>
            <w:pPr>
              <w:pStyle w:val="TableContents"/>
              <w:bidi w:val="0"/>
              <w:spacing w:before="0" w:after="283"/>
              <w:jc w:val="right"/>
              <w:rPr/>
            </w:pPr>
            <w:r>
              <w:rPr/>
              <w:t>42</w:t>
            </w:r>
          </w:p>
        </w:tc>
      </w:tr>
      <w:tr>
        <w:trPr/>
        <w:tc>
          <w:tcPr>
            <w:tcW w:w="9750" w:type="dxa"/>
            <w:tcBorders/>
            <w:shd w:fill="CCEEFF" w:val="clear"/>
            <w:vAlign w:val="center"/>
          </w:tcPr>
          <w:p>
            <w:pPr>
              <w:pStyle w:val="TableContents"/>
              <w:bidi w:val="0"/>
              <w:spacing w:before="0" w:after="283"/>
              <w:jc w:val="left"/>
              <w:rPr/>
            </w:pPr>
            <w:hyperlink w:anchor="s1_009">
              <w:r>
                <w:rPr>
                  <w:rStyle w:val="InternetLink"/>
                  <w:sz w:val="20"/>
                </w:rPr>
                <w:t>PLAN OF DISTRIBUTION</w:t>
              </w:r>
            </w:hyperlink>
          </w:p>
        </w:tc>
        <w:tc>
          <w:tcPr>
            <w:tcW w:w="455" w:type="dxa"/>
            <w:tcBorders/>
            <w:shd w:fill="CCEEFF" w:val="clear"/>
            <w:vAlign w:val="center"/>
          </w:tcPr>
          <w:p>
            <w:pPr>
              <w:pStyle w:val="TableContents"/>
              <w:bidi w:val="0"/>
              <w:spacing w:before="0" w:after="283"/>
              <w:jc w:val="right"/>
              <w:rPr>
                <w:sz w:val="20"/>
              </w:rPr>
            </w:pPr>
            <w:r>
              <w:rPr>
                <w:sz w:val="20"/>
              </w:rPr>
              <w:t>43</w:t>
            </w:r>
          </w:p>
        </w:tc>
      </w:tr>
      <w:tr>
        <w:trPr/>
        <w:tc>
          <w:tcPr>
            <w:tcW w:w="9750" w:type="dxa"/>
            <w:tcBorders/>
            <w:shd w:fill="FFFFFF" w:val="clear"/>
            <w:vAlign w:val="center"/>
          </w:tcPr>
          <w:p>
            <w:pPr>
              <w:pStyle w:val="TableContents"/>
              <w:bidi w:val="0"/>
              <w:spacing w:before="0" w:after="283"/>
              <w:jc w:val="left"/>
              <w:rPr/>
            </w:pPr>
            <w:hyperlink w:anchor="s1_010">
              <w:r>
                <w:rPr>
                  <w:rStyle w:val="InternetLink"/>
                  <w:sz w:val="20"/>
                </w:rPr>
                <w:t>DIVIDEND POLICY</w:t>
              </w:r>
            </w:hyperlink>
          </w:p>
        </w:tc>
        <w:tc>
          <w:tcPr>
            <w:tcW w:w="455" w:type="dxa"/>
            <w:tcBorders/>
            <w:shd w:fill="FFFFFF" w:val="clear"/>
            <w:vAlign w:val="center"/>
          </w:tcPr>
          <w:p>
            <w:pPr>
              <w:pStyle w:val="TableContents"/>
              <w:bidi w:val="0"/>
              <w:spacing w:before="0" w:after="283"/>
              <w:jc w:val="right"/>
              <w:rPr>
                <w:sz w:val="20"/>
              </w:rPr>
            </w:pPr>
            <w:r>
              <w:rPr>
                <w:sz w:val="20"/>
              </w:rPr>
              <w:t>45</w:t>
            </w:r>
          </w:p>
        </w:tc>
      </w:tr>
      <w:tr>
        <w:trPr/>
        <w:tc>
          <w:tcPr>
            <w:tcW w:w="9750" w:type="dxa"/>
            <w:tcBorders/>
            <w:shd w:fill="CCEEFF" w:val="clear"/>
            <w:vAlign w:val="center"/>
          </w:tcPr>
          <w:p>
            <w:pPr>
              <w:pStyle w:val="TableContents"/>
              <w:bidi w:val="0"/>
              <w:spacing w:before="0" w:after="283"/>
              <w:jc w:val="left"/>
              <w:rPr/>
            </w:pPr>
            <w:hyperlink w:anchor="s1_011">
              <w:r>
                <w:rPr>
                  <w:rStyle w:val="InternetLink"/>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right"/>
              <w:rPr/>
            </w:pPr>
            <w:r>
              <w:rPr/>
              <w:t>46</w:t>
            </w:r>
          </w:p>
        </w:tc>
      </w:tr>
      <w:tr>
        <w:trPr/>
        <w:tc>
          <w:tcPr>
            <w:tcW w:w="9750" w:type="dxa"/>
            <w:tcBorders/>
            <w:shd w:fill="FFFFFF" w:val="clear"/>
            <w:vAlign w:val="center"/>
          </w:tcPr>
          <w:p>
            <w:pPr>
              <w:pStyle w:val="TableContents"/>
              <w:bidi w:val="0"/>
              <w:spacing w:before="0" w:after="283"/>
              <w:jc w:val="left"/>
              <w:rPr/>
            </w:pPr>
            <w:hyperlink w:anchor="s1_012">
              <w:r>
                <w:rPr>
                  <w:rStyle w:val="InternetLink"/>
                  <w:sz w:val="20"/>
                </w:rPr>
                <w:t>BUSINESS</w:t>
              </w:r>
            </w:hyperlink>
          </w:p>
        </w:tc>
        <w:tc>
          <w:tcPr>
            <w:tcW w:w="455" w:type="dxa"/>
            <w:tcBorders/>
            <w:shd w:fill="FFFFFF" w:val="clear"/>
            <w:vAlign w:val="center"/>
          </w:tcPr>
          <w:p>
            <w:pPr>
              <w:pStyle w:val="TableContents"/>
              <w:bidi w:val="0"/>
              <w:spacing w:before="0" w:after="283"/>
              <w:jc w:val="right"/>
              <w:rPr>
                <w:sz w:val="20"/>
              </w:rPr>
            </w:pPr>
            <w:r>
              <w:rPr>
                <w:sz w:val="20"/>
              </w:rPr>
              <w:t>60</w:t>
            </w:r>
          </w:p>
        </w:tc>
      </w:tr>
      <w:tr>
        <w:trPr/>
        <w:tc>
          <w:tcPr>
            <w:tcW w:w="9750" w:type="dxa"/>
            <w:tcBorders/>
            <w:shd w:fill="CCEEFF" w:val="clear"/>
            <w:vAlign w:val="center"/>
          </w:tcPr>
          <w:p>
            <w:pPr>
              <w:pStyle w:val="TableContents"/>
              <w:bidi w:val="0"/>
              <w:spacing w:before="0" w:after="283"/>
              <w:jc w:val="left"/>
              <w:rPr/>
            </w:pPr>
            <w:hyperlink w:anchor="s1_013">
              <w:r>
                <w:rPr>
                  <w:rStyle w:val="InternetLink"/>
                  <w:sz w:val="20"/>
                </w:rPr>
                <w:t>MARKET FOR COMMON STOCK</w:t>
              </w:r>
            </w:hyperlink>
          </w:p>
        </w:tc>
        <w:tc>
          <w:tcPr>
            <w:tcW w:w="455" w:type="dxa"/>
            <w:tcBorders/>
            <w:shd w:fill="CCEEFF" w:val="clear"/>
            <w:vAlign w:val="center"/>
          </w:tcPr>
          <w:p>
            <w:pPr>
              <w:pStyle w:val="TableContents"/>
              <w:bidi w:val="0"/>
              <w:spacing w:before="0" w:after="283"/>
              <w:jc w:val="right"/>
              <w:rPr>
                <w:sz w:val="20"/>
              </w:rPr>
            </w:pPr>
            <w:r>
              <w:rPr>
                <w:sz w:val="20"/>
              </w:rPr>
              <w:t>69</w:t>
            </w:r>
          </w:p>
        </w:tc>
      </w:tr>
      <w:tr>
        <w:trPr/>
        <w:tc>
          <w:tcPr>
            <w:tcW w:w="9750" w:type="dxa"/>
            <w:tcBorders/>
            <w:shd w:fill="FFFFFF" w:val="clear"/>
            <w:vAlign w:val="center"/>
          </w:tcPr>
          <w:p>
            <w:pPr>
              <w:pStyle w:val="TableContents"/>
              <w:bidi w:val="0"/>
              <w:spacing w:before="0" w:after="283"/>
              <w:jc w:val="left"/>
              <w:rPr/>
            </w:pPr>
            <w:hyperlink w:anchor="s1_014">
              <w:r>
                <w:rPr>
                  <w:rStyle w:val="InternetLink"/>
                  <w:sz w:val="20"/>
                </w:rPr>
                <w:t>MANAGEMENT</w:t>
              </w:r>
            </w:hyperlink>
          </w:p>
        </w:tc>
        <w:tc>
          <w:tcPr>
            <w:tcW w:w="455" w:type="dxa"/>
            <w:tcBorders/>
            <w:shd w:fill="FFFFFF" w:val="clear"/>
            <w:vAlign w:val="center"/>
          </w:tcPr>
          <w:p>
            <w:pPr>
              <w:pStyle w:val="TableContents"/>
              <w:bidi w:val="0"/>
              <w:spacing w:before="0" w:after="283"/>
              <w:jc w:val="right"/>
              <w:rPr>
                <w:sz w:val="20"/>
              </w:rPr>
            </w:pPr>
            <w:r>
              <w:rPr>
                <w:sz w:val="20"/>
              </w:rPr>
              <w:t>70</w:t>
            </w:r>
          </w:p>
        </w:tc>
      </w:tr>
      <w:tr>
        <w:trPr/>
        <w:tc>
          <w:tcPr>
            <w:tcW w:w="9750" w:type="dxa"/>
            <w:tcBorders/>
            <w:shd w:fill="CCEEFF" w:val="clear"/>
            <w:vAlign w:val="center"/>
          </w:tcPr>
          <w:p>
            <w:pPr>
              <w:pStyle w:val="TableContents"/>
              <w:bidi w:val="0"/>
              <w:spacing w:before="0" w:after="283"/>
              <w:jc w:val="left"/>
              <w:rPr/>
            </w:pPr>
            <w:hyperlink w:anchor="s1_015">
              <w:r>
                <w:rPr>
                  <w:rStyle w:val="InternetLink"/>
                  <w:sz w:val="20"/>
                </w:rPr>
                <w:t>CERTAIN RELATIONSHIPS AND RELATED PARTY TRANSACTIONS</w:t>
              </w:r>
            </w:hyperlink>
          </w:p>
        </w:tc>
        <w:tc>
          <w:tcPr>
            <w:tcW w:w="455" w:type="dxa"/>
            <w:tcBorders/>
            <w:shd w:fill="CCEEFF" w:val="clear"/>
            <w:vAlign w:val="center"/>
          </w:tcPr>
          <w:p>
            <w:pPr>
              <w:pStyle w:val="TableContents"/>
              <w:bidi w:val="0"/>
              <w:spacing w:before="0" w:after="283"/>
              <w:jc w:val="right"/>
              <w:rPr/>
            </w:pPr>
            <w:r>
              <w:rPr/>
              <w:t>71</w:t>
            </w:r>
          </w:p>
        </w:tc>
      </w:tr>
      <w:tr>
        <w:trPr/>
        <w:tc>
          <w:tcPr>
            <w:tcW w:w="9750" w:type="dxa"/>
            <w:tcBorders/>
            <w:shd w:fill="FFFFFF" w:val="clear"/>
            <w:vAlign w:val="center"/>
          </w:tcPr>
          <w:p>
            <w:pPr>
              <w:pStyle w:val="TableContents"/>
              <w:bidi w:val="0"/>
              <w:spacing w:before="0" w:after="283"/>
              <w:jc w:val="left"/>
              <w:rPr/>
            </w:pPr>
            <w:hyperlink w:anchor="s1_016">
              <w:r>
                <w:rPr>
                  <w:rStyle w:val="InternetLink"/>
                  <w:sz w:val="20"/>
                </w:rPr>
                <w:t>EXECUTIVE COMPENSATION</w:t>
              </w:r>
            </w:hyperlink>
          </w:p>
        </w:tc>
        <w:tc>
          <w:tcPr>
            <w:tcW w:w="455" w:type="dxa"/>
            <w:tcBorders/>
            <w:shd w:fill="FFFFFF" w:val="clear"/>
            <w:vAlign w:val="center"/>
          </w:tcPr>
          <w:p>
            <w:pPr>
              <w:pStyle w:val="TableContents"/>
              <w:bidi w:val="0"/>
              <w:spacing w:before="0" w:after="283"/>
              <w:jc w:val="right"/>
              <w:rPr>
                <w:sz w:val="20"/>
              </w:rPr>
            </w:pPr>
            <w:r>
              <w:rPr>
                <w:sz w:val="20"/>
              </w:rPr>
              <w:t>72</w:t>
            </w:r>
          </w:p>
        </w:tc>
      </w:tr>
      <w:tr>
        <w:trPr/>
        <w:tc>
          <w:tcPr>
            <w:tcW w:w="9750" w:type="dxa"/>
            <w:tcBorders/>
            <w:shd w:fill="CCEEFF" w:val="clear"/>
            <w:vAlign w:val="center"/>
          </w:tcPr>
          <w:p>
            <w:pPr>
              <w:pStyle w:val="TableContents"/>
              <w:bidi w:val="0"/>
              <w:spacing w:before="0" w:after="283"/>
              <w:jc w:val="left"/>
              <w:rPr/>
            </w:pPr>
            <w:hyperlink w:anchor="s1_017">
              <w:r>
                <w:rPr>
                  <w:rStyle w:val="InternetLink"/>
                  <w:sz w:val="20"/>
                </w:rPr>
                <w:t>PRINCIPAL STOCKHOLDERS</w:t>
              </w:r>
            </w:hyperlink>
          </w:p>
        </w:tc>
        <w:tc>
          <w:tcPr>
            <w:tcW w:w="455" w:type="dxa"/>
            <w:tcBorders/>
            <w:shd w:fill="CCEEFF" w:val="clear"/>
            <w:vAlign w:val="center"/>
          </w:tcPr>
          <w:p>
            <w:pPr>
              <w:pStyle w:val="TableContents"/>
              <w:bidi w:val="0"/>
              <w:spacing w:before="0" w:after="283"/>
              <w:jc w:val="right"/>
              <w:rPr>
                <w:sz w:val="20"/>
              </w:rPr>
            </w:pPr>
            <w:r>
              <w:rPr>
                <w:sz w:val="20"/>
              </w:rPr>
              <w:t>75</w:t>
            </w:r>
          </w:p>
        </w:tc>
      </w:tr>
      <w:tr>
        <w:trPr/>
        <w:tc>
          <w:tcPr>
            <w:tcW w:w="9750" w:type="dxa"/>
            <w:tcBorders/>
            <w:shd w:fill="FFFFFF" w:val="clear"/>
            <w:vAlign w:val="center"/>
          </w:tcPr>
          <w:p>
            <w:pPr>
              <w:pStyle w:val="TableContents"/>
              <w:bidi w:val="0"/>
              <w:spacing w:before="0" w:after="283"/>
              <w:jc w:val="left"/>
              <w:rPr/>
            </w:pPr>
            <w:hyperlink w:anchor="s1_018">
              <w:r>
                <w:rPr>
                  <w:rStyle w:val="InternetLink"/>
                  <w:sz w:val="20"/>
                </w:rPr>
                <w:t>DESCRIPTION OF OUR SECURITIES</w:t>
              </w:r>
            </w:hyperlink>
          </w:p>
        </w:tc>
        <w:tc>
          <w:tcPr>
            <w:tcW w:w="455" w:type="dxa"/>
            <w:tcBorders/>
            <w:shd w:fill="FFFFFF" w:val="clear"/>
            <w:vAlign w:val="center"/>
          </w:tcPr>
          <w:p>
            <w:pPr>
              <w:pStyle w:val="TableContents"/>
              <w:bidi w:val="0"/>
              <w:spacing w:before="0" w:after="283"/>
              <w:jc w:val="right"/>
              <w:rPr>
                <w:sz w:val="20"/>
              </w:rPr>
            </w:pPr>
            <w:r>
              <w:rPr>
                <w:sz w:val="20"/>
              </w:rPr>
              <w:t>78</w:t>
            </w:r>
          </w:p>
        </w:tc>
      </w:tr>
      <w:tr>
        <w:trPr/>
        <w:tc>
          <w:tcPr>
            <w:tcW w:w="9750" w:type="dxa"/>
            <w:tcBorders/>
            <w:shd w:fill="CCEEFF" w:val="clear"/>
            <w:vAlign w:val="center"/>
          </w:tcPr>
          <w:p>
            <w:pPr>
              <w:pStyle w:val="TableContents"/>
              <w:bidi w:val="0"/>
              <w:spacing w:before="0" w:after="283"/>
              <w:jc w:val="left"/>
              <w:rPr/>
            </w:pPr>
            <w:hyperlink w:anchor="s1_019">
              <w:r>
                <w:rPr>
                  <w:rStyle w:val="InternetLink"/>
                  <w:sz w:val="20"/>
                </w:rPr>
                <w:t>THE SELLING STOCKHOLDERS</w:t>
              </w:r>
            </w:hyperlink>
          </w:p>
        </w:tc>
        <w:tc>
          <w:tcPr>
            <w:tcW w:w="455" w:type="dxa"/>
            <w:tcBorders/>
            <w:shd w:fill="CCEEFF" w:val="clear"/>
            <w:vAlign w:val="center"/>
          </w:tcPr>
          <w:p>
            <w:pPr>
              <w:pStyle w:val="TableContents"/>
              <w:bidi w:val="0"/>
              <w:spacing w:before="0" w:after="283"/>
              <w:jc w:val="right"/>
              <w:rPr>
                <w:sz w:val="20"/>
              </w:rPr>
            </w:pPr>
            <w:r>
              <w:rPr>
                <w:sz w:val="20"/>
              </w:rPr>
              <w:t>81</w:t>
            </w:r>
          </w:p>
        </w:tc>
      </w:tr>
      <w:tr>
        <w:trPr/>
        <w:tc>
          <w:tcPr>
            <w:tcW w:w="9750" w:type="dxa"/>
            <w:tcBorders/>
            <w:shd w:fill="FFFFFF" w:val="clear"/>
            <w:vAlign w:val="center"/>
          </w:tcPr>
          <w:p>
            <w:pPr>
              <w:pStyle w:val="TableContents"/>
              <w:bidi w:val="0"/>
              <w:spacing w:before="0" w:after="283"/>
              <w:jc w:val="left"/>
              <w:rPr/>
            </w:pPr>
            <w:hyperlink w:anchor="s1_020">
              <w:r>
                <w:rPr>
                  <w:rStyle w:val="InternetLink"/>
                </w:rPr>
                <w:t>DISCLOSURE OF COMMISSION POSITION ON INDEMNIFICATION FOR SECURITIES ACT LIABILITIES</w:t>
              </w:r>
            </w:hyperlink>
          </w:p>
        </w:tc>
        <w:tc>
          <w:tcPr>
            <w:tcW w:w="455" w:type="dxa"/>
            <w:tcBorders/>
            <w:shd w:fill="FFFFFF" w:val="clear"/>
            <w:vAlign w:val="center"/>
          </w:tcPr>
          <w:p>
            <w:pPr>
              <w:pStyle w:val="TableContents"/>
              <w:bidi w:val="0"/>
              <w:spacing w:before="0" w:after="283"/>
              <w:jc w:val="right"/>
              <w:rPr/>
            </w:pPr>
            <w:r>
              <w:rPr/>
              <w:t>84</w:t>
            </w:r>
          </w:p>
        </w:tc>
      </w:tr>
      <w:tr>
        <w:trPr/>
        <w:tc>
          <w:tcPr>
            <w:tcW w:w="9750" w:type="dxa"/>
            <w:tcBorders/>
            <w:shd w:fill="CCEEFF" w:val="clear"/>
            <w:vAlign w:val="center"/>
          </w:tcPr>
          <w:p>
            <w:pPr>
              <w:pStyle w:val="TableContents"/>
              <w:bidi w:val="0"/>
              <w:spacing w:before="0" w:after="283"/>
              <w:jc w:val="left"/>
              <w:rPr/>
            </w:pPr>
            <w:hyperlink w:anchor="s1_021">
              <w:r>
                <w:rPr>
                  <w:rStyle w:val="InternetLink"/>
                  <w:sz w:val="20"/>
                </w:rPr>
                <w:t>LEGAL PROCEEDINGS</w:t>
              </w:r>
            </w:hyperlink>
          </w:p>
        </w:tc>
        <w:tc>
          <w:tcPr>
            <w:tcW w:w="455" w:type="dxa"/>
            <w:tcBorders/>
            <w:shd w:fill="CCEEFF" w:val="clear"/>
            <w:vAlign w:val="center"/>
          </w:tcPr>
          <w:p>
            <w:pPr>
              <w:pStyle w:val="TableContents"/>
              <w:bidi w:val="0"/>
              <w:spacing w:before="0" w:after="283"/>
              <w:jc w:val="right"/>
              <w:rPr>
                <w:sz w:val="20"/>
              </w:rPr>
            </w:pPr>
            <w:r>
              <w:rPr>
                <w:sz w:val="20"/>
              </w:rPr>
              <w:t>84</w:t>
            </w:r>
          </w:p>
        </w:tc>
      </w:tr>
      <w:tr>
        <w:trPr/>
        <w:tc>
          <w:tcPr>
            <w:tcW w:w="9750" w:type="dxa"/>
            <w:tcBorders/>
            <w:shd w:fill="FFFFFF" w:val="clear"/>
            <w:vAlign w:val="center"/>
          </w:tcPr>
          <w:p>
            <w:pPr>
              <w:pStyle w:val="TableContents"/>
              <w:bidi w:val="0"/>
              <w:spacing w:before="0" w:after="283"/>
              <w:jc w:val="left"/>
              <w:rPr/>
            </w:pPr>
            <w:hyperlink w:anchor="s1_022">
              <w:r>
                <w:rPr>
                  <w:rStyle w:val="InternetLink"/>
                  <w:sz w:val="20"/>
                </w:rPr>
                <w:t>LEGAL MATTERS</w:t>
              </w:r>
            </w:hyperlink>
          </w:p>
        </w:tc>
        <w:tc>
          <w:tcPr>
            <w:tcW w:w="455" w:type="dxa"/>
            <w:tcBorders/>
            <w:shd w:fill="FFFFFF" w:val="clear"/>
            <w:vAlign w:val="center"/>
          </w:tcPr>
          <w:p>
            <w:pPr>
              <w:pStyle w:val="TableContents"/>
              <w:bidi w:val="0"/>
              <w:spacing w:before="0" w:after="283"/>
              <w:jc w:val="right"/>
              <w:rPr/>
            </w:pPr>
            <w:r>
              <w:rPr/>
              <w:t>84</w:t>
            </w:r>
          </w:p>
        </w:tc>
      </w:tr>
      <w:tr>
        <w:trPr/>
        <w:tc>
          <w:tcPr>
            <w:tcW w:w="9750" w:type="dxa"/>
            <w:tcBorders/>
            <w:shd w:fill="CCEEFF" w:val="clear"/>
            <w:vAlign w:val="center"/>
          </w:tcPr>
          <w:p>
            <w:pPr>
              <w:pStyle w:val="TableContents"/>
              <w:bidi w:val="0"/>
              <w:spacing w:before="0" w:after="283"/>
              <w:jc w:val="left"/>
              <w:rPr/>
            </w:pPr>
            <w:hyperlink w:anchor="s1_023">
              <w:r>
                <w:rPr>
                  <w:rStyle w:val="InternetLink"/>
                  <w:sz w:val="20"/>
                </w:rPr>
                <w:t>EXPERTS</w:t>
              </w:r>
            </w:hyperlink>
          </w:p>
        </w:tc>
        <w:tc>
          <w:tcPr>
            <w:tcW w:w="455" w:type="dxa"/>
            <w:tcBorders/>
            <w:shd w:fill="CCEEFF" w:val="clear"/>
            <w:vAlign w:val="center"/>
          </w:tcPr>
          <w:p>
            <w:pPr>
              <w:pStyle w:val="TableContents"/>
              <w:bidi w:val="0"/>
              <w:spacing w:before="0" w:after="283"/>
              <w:jc w:val="right"/>
              <w:rPr>
                <w:sz w:val="20"/>
              </w:rPr>
            </w:pPr>
            <w:r>
              <w:rPr>
                <w:sz w:val="20"/>
              </w:rPr>
              <w:t>84</w:t>
            </w:r>
          </w:p>
        </w:tc>
      </w:tr>
      <w:tr>
        <w:trPr/>
        <w:tc>
          <w:tcPr>
            <w:tcW w:w="9750" w:type="dxa"/>
            <w:tcBorders/>
            <w:shd w:fill="FFFFFF" w:val="clear"/>
            <w:vAlign w:val="center"/>
          </w:tcPr>
          <w:p>
            <w:pPr>
              <w:pStyle w:val="TableContents"/>
              <w:bidi w:val="0"/>
              <w:spacing w:before="0" w:after="283"/>
              <w:jc w:val="left"/>
              <w:rPr/>
            </w:pPr>
            <w:hyperlink w:anchor="s1_024">
              <w:r>
                <w:rPr>
                  <w:rStyle w:val="InternetLink"/>
                  <w:sz w:val="20"/>
                </w:rPr>
                <w:t>WHERE YOU CAN FIND MORE INFORMATION</w:t>
              </w:r>
            </w:hyperlink>
          </w:p>
        </w:tc>
        <w:tc>
          <w:tcPr>
            <w:tcW w:w="455" w:type="dxa"/>
            <w:tcBorders/>
            <w:shd w:fill="FFFFFF" w:val="clear"/>
            <w:vAlign w:val="center"/>
          </w:tcPr>
          <w:p>
            <w:pPr>
              <w:pStyle w:val="TableContents"/>
              <w:bidi w:val="0"/>
              <w:spacing w:before="0" w:after="283"/>
              <w:jc w:val="right"/>
              <w:rPr>
                <w:sz w:val="20"/>
              </w:rPr>
            </w:pPr>
            <w:r>
              <w:rPr>
                <w:sz w:val="20"/>
              </w:rPr>
              <w:t>85</w:t>
            </w:r>
          </w:p>
        </w:tc>
      </w:tr>
      <w:tr>
        <w:trPr/>
        <w:tc>
          <w:tcPr>
            <w:tcW w:w="9750" w:type="dxa"/>
            <w:tcBorders/>
            <w:shd w:fill="CCEEFF" w:val="clear"/>
            <w:vAlign w:val="center"/>
          </w:tcPr>
          <w:p>
            <w:pPr>
              <w:pStyle w:val="TableContents"/>
              <w:bidi w:val="0"/>
              <w:spacing w:before="0" w:after="283"/>
              <w:jc w:val="left"/>
              <w:rPr/>
            </w:pPr>
            <w:hyperlink w:anchor="s1_025">
              <w:r>
                <w:rPr>
                  <w:rStyle w:val="InternetLink"/>
                  <w:sz w:val="20"/>
                </w:rPr>
                <w:t>FINANCIAL STATEMENTS</w:t>
              </w:r>
            </w:hyperlink>
          </w:p>
        </w:tc>
        <w:tc>
          <w:tcPr>
            <w:tcW w:w="455" w:type="dxa"/>
            <w:tcBorders/>
            <w:shd w:fill="CCEEFF" w:val="clear"/>
            <w:vAlign w:val="center"/>
          </w:tcPr>
          <w:p>
            <w:pPr>
              <w:pStyle w:val="TableContents"/>
              <w:bidi w:val="0"/>
              <w:spacing w:before="0" w:after="283"/>
              <w:jc w:val="right"/>
              <w:rPr>
                <w:sz w:val="20"/>
              </w:rPr>
            </w:pPr>
            <w:r>
              <w:rPr>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are offering to sell, and seeking offers to buy, our securities only in jurisdictions where such offers and sales are permitted. You should rely only on the information contained in this Prospectus. We have not authorized anyone to provide you with any information other than the information contained in this Prospectus. The information contained in this Prospectus is accurate only as of the date of this Prospectus or such other date stated in this Prospectus, regardless of the time of our delivery or of any sale or delivery of our securities and our business, financial condition, results of operations and/or prospects may have changed since those dates. Neither the delivery of this Prospectus nor any sale or delivery of our securities shall, under any circumstances, imply that there has been no change in our affairs since the date of this Prospectus. This Prospectus will be updated and made available for delivery to the extent required by the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data contained in this Prospectus concerning our business are based on information from various public sources. Although we believe that these data are generally reliable, such information is inherently imprecise, and our estimates and expectations based on these data involve a number of assumptions and limitations. As a result, you are cautioned not to give undue weight to such data, estimates or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the context indicates otherwise, references to “Zapata,” “we,” the “Company,” “our” and “us” refer to the activities of and the assets and liabilities of the business and operations of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1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documents incorporated by reference into this Prospectus, contain “forward-looking statements,” including statements that express plans, anticipation, intent, contingency, goals, targets or future development and/or otherwise are not statements of historical fact, including expectations relating to our plans with respect to business and consideration of strategic alternatives and our ability to raise the necessary working capital. Forward-looking statements can generally be identified by the use of words such as “anticipate,” “expect,” “plan,” “could,” “may,” “will,” “should,” “would,” “intend,” “seem,” “potential,” “appear,” “continue,” “future,” “believe,” “estimate,” “forecast,” “project” and other words of similar meaning, although not all forward-looking statements contain these identifying words. In particular, these forward-looking statements include, among others, statements about our expectations for prospective future growth, operating results and financial condition, the trading market and liquidity of our Common Stock, potential future trends and developments within our industry and the U.S. and global economies generally, including regulatory developments, competition, plans and expectations for our future business plan and capital raising efforts, expectations and plans with respect to our products and services including the potential market opportunities for, timing, features, and demand for such products and services, and liquidity and sources of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our current expectations and projections and involve estimates, assumptions, risks and uncertainties that could cause actual results to differ materially from those expressed in them. Any forward-looking statements are qualified in their entirety by reference to the factors discussed in this Prospectus and the documents incorporated by reference herein. Important factors that could cause actual results to differ from those in the forward-looking statements include the risks and uncertainties arising from the possibility that estimates, projections and assumptions on which the forward-looking statements are based prove to be incorrect, our ability to access and deploy the necessary capital to re-establish, grow and maintain revenue-generating operations, central bank interest rates and future interest rate changes, the risks arising from the impact of inflation, affordability, the state of the U.S. economy including issues caused by inflation and uncertainty about interest rates, uncertainty surrounding and impacts arising from geopolitical conflicts such as those occurring in the Middle East and Ukraine and a recession which may result on the Company’s business and prospects, and on the national and global economy, our ability to maintain and protect intellectual property rights, the risk that software and technology infrastructure on which we depend fail to perform as designed or intended, the possibility that competitors may develop or access technology with similar or superior capabilities to our technology offerings, the potential for regulatory changes impacting quantum computing, artificial intelligence, data privacy and other areas that impact the Company’s business, and the ability of us and third parties on which we depend to comply with applicable regulatory requirements, and the risk that software and technology infrastructure on which we depend fail to perform as designed or intended. We also refer you to the Risk Factors which begin on page 8 of this Prospectus, and the other documents incorporated by reference into this Prospectus for both an expanded discussion of the risks and uncertainties described above and additional risks and uncertainties that could cause actual results to differ materially and adversely from those expressed or implied by forward-looking statements. Factors or events that could cause our actual results to differ may emerge at any time or from time to time, and it is not possible for us to predict all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reference herein, completely and with the understanding that our actual future results may be materially different from what we expect. You are cautioned not to place undue reliance on the forward-looking statements contained in, or incorporated by reference into, this Prospectus. Each forward-looking statement speaks only as of the date of this Prospectus or, in the case of documents incorporated by reference, the date of the applicable document (or any earlier date indicated in the statement), and we undertake no obligation to update or revise any of these statements, whether as a result of new information, future developments or otherwise, except as required by law.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4" w:name="s1_003"/>
      <w:bookmarkEnd w:id="4"/>
      <w:r>
        <w:rPr>
          <w:rFonts w:ascii="Times New Roman;Times;Serif" w:hAnsi="Times New Roman;Times;Serif"/>
          <w:b/>
          <w:i w:val="false"/>
          <w:caps w:val="false"/>
          <w:smallCaps w:val="false"/>
          <w:sz w:val="20"/>
        </w:rPr>
        <w:t>FREQUENTLY USED TERMS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document: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AI” means artificial intelligence”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Agreement” means the Business Combination Agreement, dated as of September 6, 2023, by and among the Company, Merger Sub and Legacy Zapata.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Stock” means the Common Stock of the Company, par value $0.0001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DGCL” means the General Corporation Law of the State of Delaware.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U.S. Securities Exchange Act of 1934.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IP” means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Zapata” means Zapata Computing, Inc., a Delaware 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means the merger of Merger Sub with and into Legacy Zapata with Legacy Zapata that occurred on March 28, 2024, with Legacy Zapata surviving the Merger as a wholly owned subsidiary of the Company as contemplated by the Business Combination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Tigre Merger Sub, Inc., a Delaware corporation and wholly owned direct subsidiary of the Company prior to the closing of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Stock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Preferred Stock” means the preferred stock of the Company, par value $0.0001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Sarbanes-Oxley Act” means the Sarbanes-Oxley Act of 2002.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Secured Notes” means the senior secured promissory notes issued by Zapata and its subsidiary, the obligations of which are secured by the assets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1_004"/>
      <w:bookmarkEnd w:id="5"/>
      <w:r>
        <w:rPr>
          <w:rFonts w:ascii="Times New Roman;Times;Serif" w:hAnsi="Times New Roman;Times;Serif"/>
          <w:b/>
          <w:i w:val="false"/>
          <w:caps w:val="false"/>
          <w:smallCaps w:val="false"/>
          <w:sz w:val="20"/>
        </w:rPr>
        <w:t>PROSPECTUS SUMMARY</w:t>
      </w:r>
    </w:p>
    <w:p>
      <w:pPr>
        <w:pStyle w:val="TextBody"/>
        <w:bidi w:val="0"/>
        <w:spacing w:before="0" w:after="0"/>
        <w:ind w:left="0" w:right="0" w:firstLine="40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summary highlights selected information that is presented in greater detail elsewhere in this Prospectus. This summary does not contain all the information you should consider before investing in our Common Stock. You should read this entire Prospectus carefully, including the sections titled “</w:t>
      </w:r>
      <w:hyperlink w:anchor="s1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and “</w:t>
      </w:r>
      <w:hyperlink w:anchor="s1_01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r>
        <w:rPr>
          <w:rFonts w:ascii="Times New Roman;Times;Serif" w:hAnsi="Times New Roman;Times;Serif"/>
          <w:b w:val="false"/>
          <w:i w:val="false"/>
          <w:caps w:val="false"/>
          <w:smallCaps w:val="false"/>
          <w:sz w:val="20"/>
        </w:rPr>
        <w:t>,” and our financial statements and the related notes included elsewhere in this Prospectus,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Us – 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is a leading pure-play hardware-agnostic quantum software company. Following a strategic realignment in 2025, the Company offers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software platform for quantum computing applications is based on our patented technology and supports a wide range of use cases in cryptography, pharmaceuticals, manufacturing, materials discovery and defense. The Company is the only organization to have participated across all technical areas of the Defense Advanced Research Projects Agency’s (“DARPA”)’s Quantum Benchmarking program and has worked with Fortune 500 enterprises and government agencies to unlock the potential of quantum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we consummated the business combination contemplated by the Business Combination Agreement, dated September 6, 2023, by and among the Company, Merger Sub and Legacy Zapata. Pursuant to the Business Combination Agreement, the Merger took place pursuant to which Merger Sub merged with and into Legacy Zapata resulting in Legacy Zapata becoming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recommencing operations, the Company has also entered into advisory agreements with third parties and agreed to compensate such parties in the form of equity and/or cash compensation. Immediately following the business combination, the Company had substantial near-term liquidity needs. As disclosed in the Company's Quarterly Report on Form 10-Q for the quarter ended March 31, 2024, the Company had total liabilities of $30.9 million, including $23.1 million of current liabilities, compared to total assets of $9.9 million, including $7.3 million of cash. As a result, the Company required additional financing to satisfy its obligations and continue operations. The Company's suspension of operations resulted primarily from its overall liquidity constraints and inability to obtain sufficient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 Following the restructuring and financings completed in 2025 and 2026, the Company has resumed active operations. The Company has rehired key personnel across research and development, product, strategy and operations, and commercial functions, including its Chief Technology Officer, Vice President of Strategy and Operations, Vice President of Product, and Senior Director of Partnerships and Go-to-Market. As disclosed in Financial Note 1 to the Financial Statements, management expects the Company's existing cash to be sufficient to fund its current operating plan for at least twelve months from the issuance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the Company intends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development of its Quantum Graph and Quantum Pilot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research and development efforts with commercial and academic collaborators, including work under its recently announced collaboration with NVIDIA;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to pursue commercial engagements with prospective enterprise customers and strategic partners for the Company's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Pursue government funding opportunities and research grants;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Evaluate additional financing opportunities to support the Company's long-term growth strategy as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Company’s business plans and operations described herein, and our ability to execute and continue with such efforts, will depend on our ability to raise capital needed to repay vendors and creditors, rehire various personnel and fund our working capital and growth needs. Further, our capital raising efforts and business and operations generally are subject to numerous risks and uncertainties, as described under “</w:t>
      </w:r>
      <w:hyperlink w:anchor="s1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beginning at page 8.</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offices are located at 6 Liberty Square, #2488, Boston, MA 02109. Our main telephone number is (857) 367-9002. Our website address is www.zapataquantum.com. We have not incorporated by reference into this Prospectus the information that can be accessed through our website and you should not consider it to be part of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These filings are available to the public through the SEC’s website at http://www.sec.gov. All statements made in any of our securities filings, including all forward-looking statements or information, are made as of the date of the document in which the statement is included unless otherwise specified, and we do not assume or undertake any obligation to update any of those statements or documents unless we are required to do so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1_005"/>
      <w:bookmarkEnd w:id="6"/>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7"/>
        <w:gridCol w:w="60"/>
        <w:gridCol w:w="7948"/>
      </w:tblGrid>
      <w:tr>
        <w:trPr/>
        <w:tc>
          <w:tcPr>
            <w:tcW w:w="2197" w:type="dxa"/>
            <w:tcBorders/>
            <w:shd w:fill="CCEEFF" w:val="clear"/>
            <w:vAlign w:val="center"/>
          </w:tcPr>
          <w:p>
            <w:pPr>
              <w:pStyle w:val="TableContents"/>
              <w:bidi w:val="0"/>
              <w:spacing w:before="0" w:after="283"/>
              <w:jc w:val="left"/>
              <w:rPr>
                <w:b/>
                <w:sz w:val="20"/>
              </w:rPr>
            </w:pPr>
            <w:r>
              <w:rPr>
                <w:b/>
                <w:sz w:val="20"/>
              </w:rPr>
              <w:t>Issuer:</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sz w:val="20"/>
              </w:rPr>
            </w:pPr>
            <w:r>
              <w:rPr>
                <w:sz w:val="20"/>
              </w:rPr>
              <w:t>Zapata Quantum, Inc.</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Shares Offered by the Selling Stockholders:</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pPr>
            <w:r>
              <w:rPr>
                <w:sz w:val="20"/>
              </w:rPr>
              <w:t>Up to 56,816,391 shares of Common Stock previously issued or issuable upon the conversion or exercise of the Convertible Securities. See “</w:t>
            </w:r>
            <w:hyperlink w:anchor="s1_007">
              <w:r>
                <w:rPr>
                  <w:rStyle w:val="InternetLink"/>
                  <w:sz w:val="20"/>
                </w:rPr>
                <w:t>The Private Placements</w:t>
              </w:r>
            </w:hyperlink>
            <w:r>
              <w:rPr>
                <w:sz w:val="20"/>
              </w:rPr>
              <w:t>” at page 40 and “</w:t>
            </w:r>
            <w:hyperlink w:anchor="s1_019">
              <w:r>
                <w:rPr>
                  <w:rStyle w:val="InternetLink"/>
                  <w:sz w:val="20"/>
                </w:rPr>
                <w:t>The Selling Stockholders</w:t>
              </w:r>
            </w:hyperlink>
            <w:r>
              <w:rPr>
                <w:sz w:val="20"/>
              </w:rPr>
              <w:t>” at page 81 for more information.</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Use of Proceeds:</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pPr>
            <w:r>
              <w:rPr>
                <w:sz w:val="20"/>
              </w:rPr>
              <w:t>We will not receive any of the proceeds from the sale of the shares of our Common Stock being offered for sale by the Selling Stockholders. However, upon the exercise of the Warrants by payment of the exercise in cash, we will receive the exercise price of the Warrants. The terms of the Warrants are summarized in “</w:t>
            </w:r>
            <w:hyperlink w:anchor="s1_007">
              <w:r>
                <w:rPr>
                  <w:rStyle w:val="InternetLink"/>
                  <w:sz w:val="20"/>
                </w:rPr>
                <w:t>The Private Placements</w:t>
              </w:r>
            </w:hyperlink>
            <w:r>
              <w:rPr>
                <w:sz w:val="20"/>
              </w:rPr>
              <w:t>” at page 40.</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Quotation:</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sz w:val="20"/>
              </w:rPr>
            </w:pPr>
            <w:r>
              <w:rPr>
                <w:sz w:val="20"/>
              </w:rPr>
              <w:t>Our Common Stock is currently quoted on the OTCQB under the symbol “ZPTA”.</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Shares of Common Stock outstanding before the Offering(1):</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sz w:val="20"/>
              </w:rPr>
            </w:pPr>
            <w:r>
              <w:rPr>
                <w:sz w:val="20"/>
              </w:rPr>
              <w:t>There are 187,303,921 shares of Common Stock currently issued and outstanding.</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Shares of Common Stock to be outstanding after the Offering(1):</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sz w:val="20"/>
              </w:rPr>
            </w:pPr>
            <w:r>
              <w:rPr>
                <w:sz w:val="20"/>
              </w:rPr>
              <w:t>187,303,921 shares of Common Stock upon completion of the Offering.</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 xml:space="preserve">Plan of Distribution: </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pPr>
            <w:r>
              <w:rPr>
                <w:sz w:val="20"/>
              </w:rPr>
              <w:t>The Selling Stockholders may sell all or a portion of the shares of Common Stock beneficially owned by them and offered hereby from time to time directly in several different ways. Registration of the Common Stock covered by this Prospectus does not mean, however, that such shares necessarily will be offered or sold. See “</w:t>
            </w:r>
            <w:hyperlink w:anchor="s1_009">
              <w:r>
                <w:rPr>
                  <w:rStyle w:val="InternetLink"/>
                  <w:sz w:val="20"/>
                </w:rPr>
                <w:t>Plan of Distribution</w:t>
              </w:r>
            </w:hyperlink>
            <w:r>
              <w:rPr>
                <w:sz w:val="20"/>
              </w:rPr>
              <w:t>.”</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Risk Factors:</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pPr>
            <w:r>
              <w:rPr>
                <w:sz w:val="20"/>
              </w:rPr>
              <w:t>Any investment in the securities offered hereby is speculative and involves a high degree of risk. You should carefully consider the information set forth under “</w:t>
            </w:r>
            <w:hyperlink w:anchor="s1_006">
              <w:r>
                <w:rPr>
                  <w:rStyle w:val="InternetLink"/>
                  <w:sz w:val="20"/>
                </w:rPr>
                <w:t>Risk Factors</w:t>
              </w:r>
            </w:hyperlink>
            <w:r>
              <w:rPr>
                <w:sz w:val="20"/>
              </w:rPr>
              <w:t>” beginning at page 8 and elsewhere in this Prospectus.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sz w:val="20"/>
              </w:rPr>
            </w:pPr>
            <w:r>
              <w:rPr>
                <w:sz w:val="20"/>
              </w:rPr>
              <w:t>(1)</w:t>
            </w:r>
          </w:p>
        </w:tc>
        <w:tc>
          <w:tcPr>
            <w:tcW w:w="9970" w:type="dxa"/>
            <w:tcBorders/>
            <w:vAlign w:val="center"/>
          </w:tcPr>
          <w:p>
            <w:pPr>
              <w:pStyle w:val="TableContents"/>
              <w:bidi w:val="0"/>
              <w:spacing w:before="0" w:after="283"/>
              <w:jc w:val="both"/>
              <w:rPr>
                <w:sz w:val="20"/>
              </w:rPr>
            </w:pPr>
            <w:r>
              <w:rPr>
                <w:sz w:val="20"/>
              </w:rPr>
              <w:t>The number of shares of Common Stock shown above to be outstanding after this Offering is based on 187,303,921 shares of our Common Stock outstanding as of July 8, 2026. Such amounts exclude: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40,857,265 shares underlying outstanding options having a weighted-average exercise price of $0.11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85,063,587 shares underlying outstanding warrants having a weighted-average exercise price of $3.50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75,000,000 shares underlying outstanding convertible promissory notes;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155,987 shares underlying outstanding Senior Secured Notes, including accrued interest;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25,000 shares underlying unvested restricted stock units;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1,129,630 unvested shares;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11,983,000 shares underlying outstanding Series C convertible preferred stock;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34,160,784 shares underlying outstanding Series D convertible preferred stock;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314,416 shares of Common Stock which the Company may pay to holders of Series D as dividends at a rate of 8% per annum.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that you should consider before investing in our Common Stock. Some of the principal risk factors that make an investment in the Company speculative or risky are summarized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Status as an Early Stage Company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will need additional capital to continue as a going concern.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have a history of operating losses, which are expected to continue in the future.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are an early stage company with a limited operating history in a nascent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may not be able to scale our business quickly enough to meet demand.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assets are pledged to the holders of the Secured Notes and we face risks related to the potential failure to repay obligations or any other default events.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have identified material weaknesses in our internal control over financial reporting, and may fail to maintain an effective system of disclosure controls and internal control over financial reporting.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ability to use existing or future net operating loss carryforwards and other tax attributes may be limited.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current state of the quantum computing industry is still new and rapidly evolving, so there is no guarantee that it will succeed.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business plan could suffer if we are not able to establish and grow contractual relationships with third parties or enter into certain important strategic partnerships.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business plan could suffer if we are not able to enter into important strategic partnerships.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we cannot manage our growth effectively, we may not become profitable.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are highly dependent on our key employees.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failure to attract and retain additional qualified personnel or to maintain our company culture could harm our business and prevent us from executing our business strategy.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business is dependent on growing and retaining qualified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estimate of market opportunities may prove to be inaccurate.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quantum computing application development solutions may not be widely accepted.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the market for our quantum computing application development solutions fails to develop or grow as we expect, our business could be adversely affected.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business plan relies upon the adoption of our quantum computing application development solutions by enterprise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could fail to respond to rapid technological changes.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Would be negatively impacted by delays in development of our software platform.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Sales to government entities and highly regulated organizations are subject to a number of challenges and risks.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success could be materially affected by problems with or defects in the Orquestra platform or our other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pursuit of inorganic growth opportunities could result in harm to our business.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Competition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2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35" w:type="dxa"/>
            <w:tcBorders/>
            <w:vAlign w:val="center"/>
          </w:tcPr>
          <w:p>
            <w:pPr>
              <w:pStyle w:val="TableContents"/>
              <w:bidi w:val="0"/>
              <w:spacing w:before="0" w:after="283"/>
              <w:jc w:val="both"/>
              <w:rPr/>
            </w:pPr>
            <w:r>
              <w:rPr/>
              <w:t>Competitors may develop products and technologies that are superior to ours.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35" w:type="dxa"/>
            <w:tcBorders/>
            <w:vAlign w:val="center"/>
          </w:tcPr>
          <w:p>
            <w:pPr>
              <w:pStyle w:val="TableContents"/>
              <w:bidi w:val="0"/>
              <w:spacing w:before="0" w:after="283"/>
              <w:jc w:val="both"/>
              <w:rPr/>
            </w:pPr>
            <w:r>
              <w:rPr/>
              <w:t>The quantum computing industry is highly competitive, and we may not be successful.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35" w:type="dxa"/>
            <w:tcBorders/>
            <w:vAlign w:val="center"/>
          </w:tcPr>
          <w:p>
            <w:pPr>
              <w:pStyle w:val="TableContents"/>
              <w:bidi w:val="0"/>
              <w:spacing w:before="0" w:after="283"/>
              <w:jc w:val="both"/>
              <w:rPr/>
            </w:pPr>
            <w:r>
              <w:rPr/>
              <w:t>Our business plan depends on access to public clouds through major cloud providers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35" w:type="dxa"/>
            <w:tcBorders/>
            <w:vAlign w:val="center"/>
          </w:tcPr>
          <w:p>
            <w:pPr>
              <w:pStyle w:val="TableContents"/>
              <w:bidi w:val="0"/>
              <w:spacing w:before="0" w:after="283"/>
              <w:jc w:val="both"/>
              <w:rPr/>
            </w:pPr>
            <w:r>
              <w:rPr/>
              <w:t>Our business plan depends on access to specialized hardware which we may struggle to access.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patent applications may not result in issued patents or our patent rights may be contested, circumvented, invalidated or limited in scope.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There is no guarantee that our IP will provide the desired competitive advantage.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may face patent infringement and other intellectual property claims.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use of third-party open source software could negatively affect our sales efforts.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Use of open source software may result in fewer technology barriers to entry.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 and Litigation</w:t>
      </w:r>
    </w:p>
    <w:p>
      <w:pPr>
        <w:pStyle w:val="TextBody"/>
        <w:shd w:fill="FFFFFF" w:val="clear"/>
        <w:bidi w:val="0"/>
        <w:spacing w:before="0" w:after="0"/>
        <w:ind w:left="144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25"/>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pPr>
            <w:r>
              <w:rPr/>
              <w:t>We may fail to comply with laws related to privacy, data security, and data protection.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pPr>
            <w:r>
              <w:rPr/>
              <w:t>We are potentially subject to governmental export and import control laws.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pPr>
            <w:r>
              <w:rPr/>
              <w:t>We are subject to U.S. and foreign anti-corruption, anti-bribery, and similar laws.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pPr>
            <w:r>
              <w:rPr/>
              <w:t>We are exposed to risks associated with litigation and regulatory proceedings.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Outside Our Specific Business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2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95" w:type="dxa"/>
            <w:tcBorders/>
            <w:vAlign w:val="center"/>
          </w:tcPr>
          <w:p>
            <w:pPr>
              <w:pStyle w:val="TableContents"/>
              <w:bidi w:val="0"/>
              <w:spacing w:before="0" w:after="283"/>
              <w:jc w:val="both"/>
              <w:rPr/>
            </w:pPr>
            <w:r>
              <w:rPr/>
              <w:t>Our business relies on computer systems which are vulnerable to attack and/or failure.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95" w:type="dxa"/>
            <w:tcBorders/>
            <w:vAlign w:val="center"/>
          </w:tcPr>
          <w:p>
            <w:pPr>
              <w:pStyle w:val="TableContents"/>
              <w:bidi w:val="0"/>
              <w:spacing w:before="0" w:after="283"/>
              <w:jc w:val="both"/>
              <w:rPr/>
            </w:pPr>
            <w:r>
              <w:rPr/>
              <w:t>Widespread damage to the global economy would likely adversely affect our business.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ownership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Shares of Common Stock underlying outstanding securities will cause holders to experience substantial future dilution and downward price pressure.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market price of our shares of Common Stock is subject to volatility.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There is currently a limited trading market for the Company’s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Common Stock is a “penny stock” and thereby is subject to additional restrictions.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As a former shell company, we face certain disadvantages relative to other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may be unable to successfully uplist to a national securities exchange within a reasonable period of time or at all.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will incur significant increased costs as a result of being a public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Due to our size, we have a limited management team.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do not currently intend to pay cash dividends on our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Certain provisions in our Certificate of Incorporation and Bylaws and Delaware law may adversely affect us and/or certain investors.</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7" w:name="s1_006"/>
      <w:bookmarkEnd w:id="7"/>
      <w:r>
        <w:rPr>
          <w:rFonts w:ascii="Times New Roman;Times;Serif" w:hAnsi="Times New Roman;Times;Serif"/>
          <w:b/>
          <w:i w:val="false"/>
          <w:caps w:val="false"/>
          <w:smallCaps w:val="false"/>
          <w:sz w:val="20"/>
        </w:rPr>
        <w:t>RISK FACTORS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Investors should carefully consider the following Risk Factors before deciding whether to invest in the Company. Additional risks and uncertainties not presently known to us, or that we currently deem immaterial, may also impair our business operations or our financial condition. If any of the events discussed in the Risk Factors below occur, our business, consolidated financial condition, results of operations or prospects could be materially and adversely affected. In such case, the value and marketability of our securities could decline.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Zapata’s Financial Condition and Status as an Early-Stage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capital to continue as a going concern, implement our business plan or respond to business opportunities or unforeseen circumstances and such financing may not be available.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with proceeds from sales of Convertible Preferred Stock and Common Stock and the issuance of Convertible Notes. For the three months ended March 31, 2026, we recorded a net loss of $1.3 million, used cash in operations of $1.0 million and had a stockholders’ deficit of $9.4 million as of that date. As of March 31, 2026, we had a cash balance of $642 thousand. Cash used in operations was primarily from the Company’s operating losses, working capital, and investment in strategic growth initiatives. We have incurred significant losses and negative cash flows from operations since inception and expect to continue to incur losses and negative cash flows for the foreseeable future as we expand our penetration of the quantum computing application development market.</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 We intend to use the net proceeds for working capital and general corporate purposes. We also issued 683,215 Financing Activity Warrants to the placement agents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expect our existing cash will be sufficient to fund our current operating plan for at least twelve months from the date of issuance of our most recent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continuation as a going concern is dependent upon our ability to effect or continue to identify future debt or equity financing and generate profitable operations from our operations. There can be no assurance that such capital will be available in sufficient amounts or on terms acceptable to us. Further, the Company has not generated any revenue since September 2024 and does not expect to generate any revenue unless and until it can scale operations which will be dependent on our ability to raise sufficient capital. These factors raise substantial doubt about our ability to continue as a going concern.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also contemplates a substantial scaling of Zapata across all departments, including science, software engineering, and product design, in order to launch multiple products and/or offerings in a timely manner to obtain and preserve a competitive advantage. This scaling will require substantial capital at a time when we project we will be operating at a loss and in which we have limited capital and other resources with which to execute our business plan, and this process may take longer than we anticipate. Consequently, our expansion is limited in proportion to our growth in revenue and available capital, as well as by our limited personnel and infrastructure. The capital required to sustain our business during this period may be greater than anticipated. In addition, presently unforeseen opportunities or circumstances may require capital beyond what we currently project. The period during which we expect to operate at a loss may be extended by circumstances beyond our control.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obtain additional financing through public or private equity or debt financings (subject to the limitations under our outstanding agreements and debt instruments) that may result in dilution to stockholders, the issuance of securities with priority as to liquidation and/or dividend and other rights more favorable than the Common Stock, or the imposition of debt covenants and repayment obligations or other restrictions that may adversely affect our business. For example, as of March 31, 2026, we have outstanding an aggregate principal amount of $4.0 million in secured promissory notes (collectively, the “Secured Notes”). Included in the Secured Notes is a senior secured promissory note (in the aggregate principal amount of $1.0 million the “Senior Secured Note”). This Senior Secured Note, among other things, converts at the option of the holder at $8.50 per share of Common Stock and prohibits Legacy Zapata from issuing additional indebtedness and undertaking certain other actions, subject to limited exceptions, which may prevent or limit us from raising further capital or engaging in strategic transactions in the future. The Senior Secured Note matures on December 31, 2026.</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other Secured Notes (the “2025 Notes”) have a total outstanding principal amount of $3 million, mature on June 12, 2026 (subject to acceleration upon the occurrence of certain customary events of default or a change of control), and bear 10% per annum interest. These 2025 Notes are convertible into shares of Common Stock at the option of the holder based on a conversion price of $0.04 per share, subject to certain adjustments. The Company also issued warrants to purchase a total of 37,500,000 shares of Common Stock to the investors of the 2025 Notes. The maturity date of the 2025 Notes was extended to June 12, 2027.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future financing will be at financial terms equal to or more favorable than those described above or that our existing indebtedness will not limit or prevent us from raising capital in the future, and we may need to enter into future equity or, if available, debt financing at significantly less favorable terms. Our failure to raise capital as and when needed would have a materially negative impact on our financial condition and our ability to pursue our business strategy.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which are expected to continue for the foreseeable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We incurred operating losses of $3.4 million and $23.0 million during the years ended December 31, 2025 and 2024, respectively, and we have a cumulative deficit since the formation of Legacy Zapata in November 2017 through March 31, 2026 of approximately $9.4 million. Since 2025, we have continued to incur net losses. We believe that we will continue to incur operating and net losses each quarter at least for the foreseeable future. The size of future losses will depend on several factors, including the degree to which we seek to establish and expand our scientific, product, software engineering, sales and other teams, and the revenue that we can generate from sales of our quantum computing application development solutions. Our operating expenses have increased as a result of becoming a public company and we expect that our expenses will continue to increase as we grow our business, including hiring and re-hiring personnel as we seek to re-establish revenue-generating operations as part of our ongoing restructuring efforts in which began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 stage company with a limited operating history, in a nascent industry, making it difficult to forecast future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2017 to develop and provide software with related services and proprietary IP to utilize quantum math on classical and future quantum hardware. On October 7, 2024, due to financial difficulties we temporarily suspended our operations. In June 2025, following restructuring efforts and conversion of certain outstanding indebtedness into equity, we shifted our business focus from artificial intelligence (AI) to quantum computing software and solutions. Our ability to re-establish revenue-generating operations and generate revenue will be dependent upon our ability to access sufficient capital for such purpose. The market focus for our quantum computing application development solutions and the use of quantum math and algorithms are nascent fields with uncertainty on future market uptake and in technological progress in the field.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were suspended beginning on October 8, 2024. The Company did not timely file the following periodic reports but subsequently filed all outstanding reports on December 9,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25"/>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Quarterly Report on Form 10-Q for the quarter ended September 30,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Annual Report on Form 10-K for the year ended December 31,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Quarterly Report on Form 10-Q for the quarter ended March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Quarterly Report on Form 10-Q for the quarter ended June 30,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Quarterly Report on Form 10-Q for the quarter ended September 30, 2025</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can or will meet the challenges commonly faced by early stage companies, including the need to scale operations and to achieve and manage rapid growth. A number of factors could cause our efforts to be adversely impacted, including any inability to raise the necessary capital needed to establish revenue-generating operations and pursue our business objectives, increased competition, lesser-than-expected growth or contraction of our overall market, our inability to accurately forecast demand for our customer offerings, our inability to establish sales or other partnerships with service firms, an inability to develop repeatable solutions, an inability to grow our team, or our failure, for any reason, to capitalize on growth opportunities. We have encountered and will encounter risks and uncertainties frequently experienced by early stage companies in rapidly changing industries, such as the risks and uncertainties described herein. We cannot provide assurance that we can meet the challenges faced by all companies, including established companies, in rapidly changing or nascent industries. The failure to address these challenges successfully or promptly could have a material adverse effect on our future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scale our business and quantum computing application development solutions quickly enough to meet customer and market demand and to remain competitive in the market for quantum computing application development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establish and grow our business, we will need to re-establish and scale operations in every area from our existing start-up capacity. These challenges will require that we: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scale our product design team to design and continually re-design our quantum computing application development solutions in order to maintain a competitive position in the market, including increasing the number of employees following our previous reductions in force;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increase the size of our software engineering team to produce in a competitively timely manner stable quantum computing application development solutions based on the chosen design elements;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increase the size of our services team to provide ongoing services in connection with our quantum computing application development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expand our customer-support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expand our scientific research and development in order to generate IP required or helpful to our business, including IP to develop our quantum computing application development solutions, to provide freedom to operate for our quantum computing application development solutions, and to create barriers to competition, on an accelerated time frame in order to minimize the risk that third-parties might first create potentially blocking IP;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increase our sales and marketing teams and efforts;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develop and expand relationships with large service firms to leverage sales of our quantum computing application development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develop and expand our operational, financial and legal systems and teams to accommodate increases in customer and partner relationships and additional legal requirements we will face as a result of international data privacy regulations, securities compliance and reporting obligations;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establish, maintain and scale effective financial disclosure controls and procedures;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expand our executive and administrative teams in all areas including finance, accounting, operations, human resources, and legal, in order to effectively manage our growth;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expand our access to computing hardware and specifically Graphics Processing Unit chips (“GPUS”), which have faced supply limitations.</w:t>
            </w:r>
          </w:p>
        </w:tc>
      </w:tr>
    </w:tbl>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successfully overcome these challenges and manage the organizational growth required to do so, then our business, including our ability to establish and maintain a competitive place in the market, financial condition, and profitability, may be materially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assets are pledged to the holders of the Secured Notes and failure to repay obligations to these noteholders when due, or any other default events, will have a material adverse effect on our business and could result in foreclosure on these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Secured Notes, the Company entered into Security Agreements and an Intercreditor Agreement with Acquiom Agency Services LLC as collateral agent on behalf of the noteholders (collectively, the “Security Agreement”). The Security Agreement creates a security interest in all of the property of Zapata and its subsidiaries, subject to certain exceptions specified in the Security Agreement (the “Collateral”). Pursuant to the Security Agreement, each of Zapata Computing, Inc. and Zapata Government Services, Inc. has agreed to guarantee the obligations of the Company under the Security Agreement and the Secured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Security Agreement, the collateral agent will have certain rights under the Security Agreement, including the right to take control of the Collateral and, in certain circumstances, sell the Collateral to cover obligations owed to the holders of the Secured Notes pursuant to its terms. “Event of Default” under the Security Agreement means (i) any default of the terms, conditions or covenants of the Security Agreement (after giving effect to any applicable grace or cure period) and any event of default under the Secured Notes, which includes any failure to pay any principal or interest payment on the due date or any other payments required under the terms of the Secured Notes, a breach of any other covenant under the Secured Notes, and entering into any voluntary or involuntary bankruptcy or insolvency proceedings. Any such default would have a material adverse effect on Legacy Zapata’s and, by extension, our, business and our stockholders could lose their entire investment in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Sarbanes-Oxley Act, including regular attestations by management concerning its internal control over financial reporting. Management may not be able to effectively and timely implement controls and procedures that adequately respond to these increased regulatory compliance and reporting requirements. If we are not able to implement the additional requirements of Section 404 of the Sarbanes-Oxley Act (“Section 404”) in a timely manner or with adequate compliance, we may not be able to assess whether our internal control over financial reporting is effective and may fail to provide timely and accurate financial information to investors. This may subject us to adverse regulatory consequences and could harm investor confidence. We expect that the requirements of these rules and regulations will continue to increase our legal, accounting, and financial compliance costs, make some activities more difficult, time-consuming, and costly, and place significant strain on our personnel, systems, and resources. We will need to hire additional accounting and financial personnel in order to achieve these goals.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disclosure controls and procedures and internal control over financial reporting. The controls required are not currently in place; however, we are working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working to design and maintain our internal control over financial reporting.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controls and any new controls that we develop may be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the effectiveness of internal control over financial reporting, and/or our ability to produce timely and accurate financial reports. Moreover, our business may be harmed if we experience problems with any new systems and controls, resulting in delayed implementation or increased costs to correct any issues.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addition to the material weaknesses described in the Risk Factor which follows and elsewhere in this Prospectus,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That failure could result in a restatement of our financial statements for prior periods. 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Those reports will eventually be included in our periodic reports filed with the SEC. Ineffective disclosure controls or internal control over financial reporting could also cause investors to lose confidence in our reported financial and other information, which would likely have a negative effect on the trading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maintain effective disclosure controls and internal control over financial reporting could harm our business and could cause a decline in the trading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remediate these weaknesses, identify additional material weaknesses in the future, or otherwise fail to maintain an effective system of internal control over financial reporting, this may result in misstatements in our financial statements, cause us to fail to meet periodic reporting obligations, or cause our access to capital markets to be impaired.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as of and for the year ended December 31, 2025, material weaknesses have been identified in the Company’s internal control over financial reporting.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we identified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Company does not have sufficient segregation of duties within accounting functions, as its Chief Executive Officer is the sole officer of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Company does not have sufficient or complete written documentation of our internal controls policies and procedures.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substantial portion of the Company’s financial reporting is carried out by an outside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Company’s human resources, processes and systems are not sufficient to enable the production of timely and accurate financial statements in accordance with US GAAP.</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could result in a misstatement of account balances or disclosures that would result in a material misstatement to our combined annual or interim financial statements that would not be prevented or detected.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effort to remediate the material weaknesses, we have retained an accounting consulting firm to provide additional depth and breadth to our technical accounting and financial reporting capabilities. We intend to engage internal control consultants to assist us in performing a risk assessment to identify relevant risks and specify needed objectives. With their assistance, we intend to formalize and communicate our policies and procedures surrounding our financial close, financial reporting and other accounting processes, and to further develop and document necessary policies and procedures regarding our internal control over financial reporting, such that we are able to perform a Section 404 analysis of our internal control over financial reporting when and as required. We cannot assure that these measures will significantly improve or remediate the material weaknesses described above. We also cannot assure that we have identified all or that we will not have additional material weaknesses in the future. Accordingly, a material weakness may still exist when we report on the effectiveness of our internal control over financial reporting for purposes of our management’s required attestation. Further, while we remain an emerging growth company, we will not be required to include an attestation report on internal control over financial reporting issued by our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expect to incur additional costs to remediate these control deficiencies, though there can be no assurance that our efforts will be successful or that we will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the SEC or other regulatory authorities.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existing or future net operating loss carryforwards and other tax attributes may be limited.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operating losses (“NOLs”) for tax purposes for each year since our incorporation and we expect to continue to operate at a loss for the foreseeable future. As of December 31, 2025 we had a cumulative U.S. federal carryforward of approximately $71.1 million and a cumulative state NOL carryforward of approximately $41.0 million. If not utilized, the state NOLs will expire at various dates through 2044. The U.S. federal NOLs generated after 2017 can be carried forward indefinitely. Under the Code, the deductibility of the U.S. federal NOL carryforward as of December 31, 2025 and all future U.S. federal NOL carryforwards is limited to 80% of taxable income, limiting or delaying in part the use of NOL carryforwards if and when we cease operating at a loss. We may potentially use these U.S. federal and state NOLs to offset taxable income for U.S. federal and state income tax purposes. However, the use of these NOLs may be subject to numerous limitations under the Code and under state tax laws. Among such limitations, Section 382 of the Code may limit the use of these NOLs in any year for U.S. federal income tax purposes in the event of certain past or future changes in ownership of us or Legacy Zapata. An ownership change under Section 382 of the Code, referred to in this discussion as an ownership change, generally occurs if one or more stockholders or groups of stockholders who own at least 5% of a company’s stock increase their ownership by more than 50 percentage points over their lowest ownership percentage within a rolling three-year period. We have not conducted a Section 382 study to determine whether the use of our NOLs is impaired under Section 382 of the Code as a result of any prior ownership change. We may have previously undergone one or more ownership changes. An ownership change in respect of us also could be deemed to be an ownership change in respect of Legacy Zapata. The Merger, or future issuances or sales of our securities, including certain transactions involving our securities that are outside of our control, could result in ownership changes. Ownership changes that have occurred in the past or that may occur in the future could result in the imposition of an annual limit under Section 382 of the Code on the amount of pre ownership change NOLs and other tax attributes that we or Legacy Zapata could use to reduce our taxable income, potentially increasing or accelerating its liability for income taxes, and also potentially causing those tax attributes to expire unused.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States may impose similar limitations on the use of applicable NOLs. We have recorded a valuation allowance related to NOL carryforwards and other deferred tax assets due to the uncertainty of the ultimate realization of the future benefits of those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on using NOLs, whether under Section 382 of the Code or otherwise under U.S. federal or state tax laws, could, depending on the extent of such limitation and the NOLs previously used, result in Legacy Zapata or us retaining less cash after payment of U.S. federal and state income taxes in respect of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quantum computing solutions in general and our quantum computing application development solutions in particular to satisfy customer demands or to achieve increased market acceptance would adversely affect our business, results of operations, financial condition, and growth prospects, and the current state of the quantum computing industry is still new and rapidly evolving, so there is no guarantee that it will succeed.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derive substantially all of our revenue from our quantum computing application development software and related services if our marketing initiatives are successful. Accordingly, the market acceptance of quantum computing in general - and our quantum computing solutions in particular - is critical to our continued success.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quantum computing is still in its early stages and is rapidly evolving. Adoption depends on customer awareness of the potential benefits of quantum computing over classical methods, the continued progress of underlying hardware, and the availability of practical quantum algorithms and workflows. There is no assurance that quantum computing will achieve large scale commercial viability or that customers will adopt our products at the rate or in the manner we anticipate.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the Company intends to:</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development of its Quantum Graph and Quantum Pilot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research and development efforts with commercial and academic collaborators, including work under its recently announced collaboration with NVIDIA;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to pursue commercial engagements with prospective enterprise customers and strategic partners for the Company's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Pursue government funding opportunities and research grants;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Evaluate additional financing opportunities to support the Company's long-term growth strategy as appropriate.</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demand for our solutions is affected by factors largely beyond our control, including the pace of hardware advancement, competitive product introductions, data-security and regulatory considerations, and general macroeconomic conditions. Further, the use of quantum technology is not widespread and is generally limited to certain specific types of organizations and activities, and our prospective customer base will therefore be limited. We expect the needs of our customers to continue to evolve and grow in complexity as the industry progresses toward fault-tolerant quantum computing. To remain competitive, we must continually enhance the functionality, performance, and usability of our software and services to meet these changing demands.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fails to achieve broad acceptance of quantum computing or our application development solutions do not meet with sufficient customer demand, or if we fail to keep pace with rapid technological change, our business, operating results, and growth prospects could be materially and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significant progress has been made in advancing quantum hardware, the commercial utility of quantum computing remains largely unproven. As the technology is applied to new domains such as chemistry, materials science, optimization, cryptography, and machine learning, it is possible that performance gains may be more limited than current forecasts suggest. Techniques we or others develop could quickly become obsolete as new methods or architectures emerge. Because many of our competitors are larger companies with greater resources, they may be able to incorporate new techniques or access next-generation hardware more rapidly than we can.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also be no assurance that our analysis of the eventual market need for quantum computing is correct. If our assessment proves inaccurate, the future value of our products and services, our competitive position, and our profitability could be materially lower than we currently anticipate.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could suffer if we are not able to establish and grow contractual relationships with third parties or enter into certain important strategic partnerships, and if we are unable to ensure that our quantum computing application development solutions interoperate with computing hardware or software that are developed by others, we may become less competitive and our resulting operations may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quantum computing application development company, solutions must provide customers with the ability to use products of third parties, such as quantum processors and classical computing resources, which we do not manufacture. The cost or availability of these dependencies could be adversely affected by a variety of factors, including the transition to a clean energy economy, local and regional environmental regulations, and geopolitical disruptions. Our quantum computing application development solutions must integrate with a variety of hardware and software platforms, and we need to continuously modify and enhance our quantum and classical software libraries to adapt to changes in hardware and software technologies. In particular, we have developed our quantum development frameworks to be able to easily integrate with key third-party applications, including the applications of software providers that compete with us as well as our partners. In general, we are and will be subject to standard terms and conditions of such providers and open source licenses, which govern the distribution, operation, and fees of such software systems, and which are subject to change by such providers from time to time. Our business will be harmed if any provider of such software systems: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discontinues or limits our access to its software;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modifies its terms of service or other policies, including fees charged to, or other restrictions on us, or other platform and application developers;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or modifies its open source license;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how information is accessed by us or our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establishes more favorable relationships with one or more of our competitors;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develops or otherwise favors its own competitive offerings over AI software libraries.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services and products are constantly evolving, and we may not be able to modify our quantum computing application development solutions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quantum development frameworks with their products or services, or exert strong business influence on our ability to and terms on which we operate our quantum computing application development solutions. Should any of our competitors modify their products or standards in a manner that degrades the functionality of our quantum development frameworks or gives preferential treatment to our competitors or competitive products, whether to enhance their competitive position or for any other reason, the interoperability of our quantum computing application development solutions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could suffer if we are not able to enter into important strategic partnerships.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plans, we expect to expand, sell to, with, and through partners, including developing repeatable solutions built with services firms, and developing partnerships with hardware providers, system integrators and consulting services firms. However, our relationships with these partners may not result in additional business. If we are unable to enter into beneficial and contractual strategic partnerships, or are unable to do so on favorable terms, then our growth could be limited or delayed.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restructuring and financings completed in 2025 and 2026, the Company has resumed active operations. The Company has rehired key personnel across research and development, product, strategy and operations, and commercial functions, including its Chief Technology Officer, Vice President of Strategy and Operations, Vice President of Product, and Senior Director of Partnerships and Go-to-Market. As disclosed in Financial Note 1 to the Financial Statements, management expects the Company's existing cash to be sufficient to fund its current operating plan for at least twelve months from the issuance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over the next twelve months, the Company intends to continue development of its Quantum Graph and Quantum Pilot products and research and development efforts with commercial and academic collaborators, including work under its recently announced collaboration with NVIDIA. We also plan to pursue commercial engagements with prospective enterprise customers and strategic partners for the Company's software offerings and government funding opportunities and research grants; while evaluating additional financing opportunities to support the Company's long-term growth strategy as appropriate.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manage our growth effectively, we may not become profitable.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Businesses, including development stage companies such as ours which often grow rapidly, tend to have difficulty managing their growth. If we are able to successfully market our products and services, we will likely need to expand our management team and other key personnel by recruiting and employing experienced executives and key employees and/or consultants capable of providing the necessary support.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Prospectus, we are in the process of developing and/or pursuing business plans for relatively novel technology in an industry that remains in its infant stages, and which involves a unique business model and would take substantial time and resources to execute and develop into a revenue generating enterprise. We cannot assure you that our management will be able to manage our growth effectively or successfully. Our failure to meet these challenges could cause us to lose money, and your investment could be lost.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and will be highly dependent on our key employees and personnel.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our goals will depend heavily on our Chief Executive Officer and key employees. In late 2024 and early 2025, most of our key personnel left the Company due to our financial difficulties and suspension of operations. We have since re-hired multiple such individuals, and will need to re-hire and/or find suitable replacement or supplemental personnel in order to scale operations and execute on our business plan. The procurement and retention of these key employees and consultants, together with additional key hires, is critical to the long-term success of the Company. All of our personnel are “at will” employees who could leave the Company to accept alternative employment at any time. The more success we achieve serves to increase the risk that competitors, including large, well-established companies with far greater resources, will seek to hire our employees, including key employees. The loss of any key employee, especially to a competitor, could have a material adverse effect on our business, including by delaying the roll-out of products or diminishing the quantity or quality of our scientific output. Further, our industry and operations are highly specialized, and the loss of key personnel would therefore impose substantial challenges on us, and we may be unable to locate and hire suitable replacements on favorable terms or at all, and could lose competitive advantages, market share, and the ability to operate as planned as a result of the loss of certain key personnel.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also highly dependent on locating and hiring highly qualified key employees, both to replace any losses of key employees, including following our previous reductions in force, as well as to supplement our current employees. If we are unable to grant sufficient or competitive compensation, including equity awards and bonuses, we may be unable to attract new or retain key employees.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to attract and retain additional qualified personnel or to maintain our company culture could harm our business and prevent us from executing our business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quantum computing, computer science, mathematics, and enterprise software, as well as sales and operations professionals, which are specialized fields with limited pools of qualified candidates with the knowledge, education, training and experience needed to fill various roles that will be critical to our operations. As disclosed above, we will need to hire additional personnel to execute our business plan. At times, we have experienced, and we may continue to experience, difficulty in hiring personnel who meet the demands of our selection process and with appropriate qualifications, experience, or expertise, and we may not be able to fill positions as quickly as desired, particularly in light of our previous reductions in workforce. Potential candidates may not perceive our compensation package, including our equity awards, or our future prospects as favorably as employees hired in the past which may render recruiting and retaining qualified individuals more difficult. In addition, our recruiting personnel, methodology, and approach may need to be altered to address a changing candidate pool and profile. We may not be able to identify or implement such changes in a timely manner.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companies with which we compete for experienced personnel have greater resources than we have, and some of these companies may offer more attractive compensation packages. If the perceived value of our equity awards declines, or if the mix of equity and cash compensation that we offer is unattractive, it may adversely affect our ability to recruit and retain highly skilled employees. Our ability to offer attractive compensation packages to our current and prospective employees is limited by our limited capital resources and our reliance on equity compensation which may be viewed as less attractive based on the prices and lack of liquidity of our Common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with greater resources than we have in the past recruited or attempted to recruit our employees. If we cannot retain these employees, it may adversely affect our ability to deliver on our quantum computing application development solutions. Furthermore, third-party offers to our employees of greater compensation have in the past forced and may in the future force us to offer significant additional compensation, which may adversely impact our financial performance, and we are limited in issuing equity by the number of shares reserved for issuance under our equity plans. Additionally, continued high inflation, without regard to competition, may require us to increase compensation and failure to do so might impact our employee retention. Such increases would also adversely impact our financial performance.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 critical component to our success and our ability to retain our best people is our culture. As we continue to grow and develop a public company infrastructure, we may find it difficult to maintain our company culture. If we fail to attract new personnel or to retain our current personnel, our business would be harmed.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dependent on growing and retaining competitive teams of sufficient size in the areas of algorithm development, product development, and software engineering; the failure to achieve any one of these objectives could materially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business model is to develop and sell software capable of delivering quantum computing application development solutions to enterprise customers at scale and services in connection with such software. This requires a science team to develop algorithms, capable of addressing valuable problems using quantum techniques and other mathematics. It also requires a product development team that can describe software that not only is able to use the quantum techniques developed by its team, but also is able to handle enterprise production issues at scale. We also require a software engineering team that can implement the product design through products that comply with the myriad legal and enterprise information technology requirements and are robust enough to function in an enterprise production environment. Finally, these teams must have the capacity to complete their respective tasks in time to be of value to the market.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hire the personnel required to execute our business plan depends, in part, on the availability of qualified applicants, something which is beyond our control. Quantum information processing is a relatively new field. Although the pool of qualified quantum scientists and software engineers is growing, it is limited and competition for that talent is global and aggressive, pitting us against large, well-established companies with larger financial resources than we have, as well as programs sponsored by foreign countries. In addition, limitations in or changes to immigration and work permit laws and regulations or the administration or interpretation of those laws could impair our ability to attract and retain highly qualified employees.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be able to hire and retain an adequate number of quantum scientists, product design specialists, and/or software engineers with the qualifications required to execute our business plan. Our failure to build and maintain any one or more of these requisite teams could have a material adverse effect on our future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 of market opportunities may prove to be inaccurate.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there is no mature market for quantum computing solutions. This creates significant uncertainty in determining the potential market for our quantum computing application development solutions. For example, estimates on the current and potential total addressable market for quantum computing as an industry are based on third-party estimates and our own internal judgment, both of which may be materially inaccurate. There can be no assurance that our or third-party estimates of the potential total addressable market for quantum computing are correct, and such numbers do not account for the substantially more limited service obtainable market for our quantum computing application development solutions. Additionally, our market opportunities, future prospects, and future profitability will be materially lessened by delays in widespread enterprise adoption of quantum computing, if enterprises adopt quantum computing at all, which would reduce the relevant total addressable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Our business depends on our ability to attract customers and on such future customers purchasing additional subscriptions from us and/or renewing their existing subscriptions.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goal is to attract customers and create revenue. As an early stage company, we have limited experience with sales and, in particular, sales to our target large enterprise customers. Our success will depend to a substantial extent on the level of adoption of our quantum computing application development solutions. Quantum computing is a new and evolving industry, so the level of adoption is uncertain. Numerous factors may impede our ability to add customers, including but not limited to, our failure to compete effectively against alternative products or services, to attract and effectively train new sales and marketing personnel, to develop relationships with partners, to successfully innovate and deploy new applications and other solutions, to provide a quality customer experience and customer services, including increasing our employee headcount to provide for additional service providers, or to ensure the effectiveness of our marketing programs. If we are not able to attract customers, it will have a material adverse effect on our business,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quantum computing application development solutions, as well as applications, features, and functionality that we may introduce in the future or that we offer but have not yet sold, may not be widely accepted by our customers or may receive negative attention, each of which may lower our margins and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customers and generate revenue will depend on our ability to successfully market our existing quantum computing application development solutions, as well as create new applications, features, and functionality. We may introduce significant changes to our existing quantum computing application development solutions or develop and introduce new applications, including technologies with which we have little or no prior development or operating experience. These new applications and updates, as well as our existing solutions that we have marketed but not yet sold, may fail to engage, retain, and increase our base of customers or may suffer from lag in adoption. New applications may initially suffer from performance and quality issues that may negatively impact our ability to market and sell such applications to new and existing customers. The short- and long-term impact of any major change to our quantum computing application development solutions, or the introduction of new applications or initial sales of our applications to enterprise customers, is particularly difficult to predict. If new or enhanced applications are not widely accepted by customers, we may fail to generate sufficient revenue, operating margins, or other value to justify our investments in such applications, any of which may harm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market for our quantum computing application development solutions fails to develop or grow as we expect, or if businesses fail to adopt our quantum computing application development solutions, our business, operating results, and financial condition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customer adoption rates and demand for our quantum computing application development solutions, the entry of competitive software, platforms and services. We cannot be sure that the quantum computing market will continue to grow or, even if it does grow, that businesses will adopt our quantum computing application development solutions. Our future success will depend in large part on our ability to create a market for quantum computing application development solutions. Our ability to create such a market depends on a number of factors, including the cost, performance, and perceived value associated with our quantum computing application development solutions. Potential customers may have made significant investments in classical computing systems and may be unwilling to invest in new platforms and applications, and may prefer to work with larger, more established companies that have entered the broader quantum computing market. If the quantum computing market fails to develop or grows more slowly than we currently expect, our business, operating results, and financial condition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relies upon the adoption of our quantum computing application development solutions by enterprise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targeted customers are large enterprises with intractable problems that require addressing at scale. The success of our business plan, therefore, materially depends upon our ability to sell our quantum computing application development solutions to such large enterprise customers. Sales to such customers involve risks that are different from or greater than risks involved in selling to smaller customers. Such risks include difficulties associated with longer sales, product, evaluation, and implementation cycles; higher customer-tailored requests and greater bargaining power on the part of the customer; and more intense competition from vendors who have been providing other software and services for years to the customer and are embedded in the customer’s IT infrastructure. If we are not able to overcome these risks and successfully establish a meaningful share of the enterprise market, then our business prospects and future profitability could suffer.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cycles are expected to be long and unpredictable, and our sales efforts will require considerable time and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may fluctuate, in part, because of the complexity of customer problems that our quantum computing application development solutions address, the resource-intensive nature of our sales efforts, the length and variability of the sales cycle for our offerings, and the difficulty in making short-term adjustments to our operating expenses. The timing of our sales is difficult to predict. The length of our sales cycle, from initial evaluation to payment for our subscriptions and related services can vary substantially from customer to customer and could extend over a number of years for some customers. Our sales efforts are expected to involve educating our customers about the use, technical capabilities, and benefits of our offerings. Customers often undertake a prolonged evaluation process. In addition, the size of potential customers may lead to longer sales cycles. We may also face unexpected deployment challenges with large organizations or more complicated deployment of our offerings.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As a result, it is difficult to predict exactly when, or even if, we will make a sale to a potential customer or if we can increase sales to existing customers.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sales can be part of a long sales cycle, which impacts our ability to plan and manage cash flows and margins. These large individual sales have, in some cases, occurred in quarters subsequent to those we anticipated, or have not occurred at all. If our sales cycle lengthens or our substantial upfront investments do not result in sufficient revenue to justify our investments, our operating results could be adversely affected. In addition, within each quarter, it is difficult to project which month a deal will close. Therefore, it is difficult to determine whether we are achieving our quarterly expectations and whether we will achieve annual expectations. We may fail to budget and manage costs and operating expenses or anticipate working capital needs. Therefore, if expectations for our business are not accurate, we may not be able to adjust our cost structure on a timely basis, and our margins and cash flows may differ from expectations.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respond to rapid technological changes, extend our quantum computing application development solutions, or develop new features and functionality, our ability to remain competitive could be impaired.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quantum computing application development solutions is characterized by rapid technological change, particularly since quantum computing is a new and evolving industry, including frequent new hardware and software introductions and enhancements, changing customer demands, and evolving industry standards. The introduction of software embodying new technologies can quickly make existing software obsolete and unmarketable. Quantum computing is inherently complex, and it can take a long time and require significant research and development expenditures to develop and test new or enhanced methods and solutions. The success of any enhancements or improvements to our existing quantum computing application development solutions or any new applications depends on several factors, including timely completion, competitive pricing, adequate quality testing, integration with existing technologies, and overall market acceptance, particularly as we provide custom solutions for specific use cases.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our quantum computing application development solutions to operate effectively with future infrastructure platforms and technologies could impact our ability to attain new customers and generate revenue therefrom. If we are unable to respond to these changes in a timely and cost-effective manner, our quantum computing application development solutions may become less marketable, less competitive, or obsolete, and our business may be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quantum computing platforms and applications by competitors or the development of entirely new technologies to replace existing offerings could make our quantum computing application development solutions obsolete or adversely affect our business, results of operations, and financial condition. We may experience difficulties with software development, design, or marketing that could delay or prevent our development, introduction, or implementation of new quantum computing application development solutions, features, or capabilities, applying our existing quantum computing application development solutions to new use cases. Any delays could result in adverse publicity, loss of revenue or market acceptance, or claims by customers brought against us, all of which could harm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negatively impacted by delays in development of our software platform.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plans, including raising sufficient capital and obtaining adequate staffing and other resources, that we believe if successfully executed will result in the development of and continued improvements to our software platform on a schedule that permits the execution of our business plan in a timely manner. Any delays in platform design and engineering work required to accomplish this could result in corresponding delays in the implementation of our business plan in the market. We are presently unaware of any outstanding design or engineering issues that cannot be resolved in the normal course, but the failure to complete necessary components of or improvements to its platform in a timely manner would have a serious negative impact on the company and might cause the company to fail.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support services for our customers may harm our relationships with our customers and, consequently,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quantum computing application development solutions are deployed, customers will depend on our services teams to resolve technical and operational issues relating to our quantum computing application development solutions. Our ability to provide effective support will largely be dependent on our ability to attract, train, and retain qualified personnel with experience in interfacing with customers. If in the future the number of our customers grows, this will put additional pressure on our customer services teams. We may be unable to respond quickly enough to accommodate short-term increases in customer demand for support. We also may be unable to modify the future, scope, and delivery of our support to compete with changes in the services provided by our competitors. Increased customer demand for support services, without corresponding revenue, could increase costs and negatively affect our operating results. In addition, if we experience increased customer demand for support, we may face increased costs that may harm our results of operations. If our customer base expands, we will need to hire additional support staff to deliver and support our quantum computing application development solutions, and our business may be harmed. Our ability to attract and retain customers is highly dependent on our ability to deliver value to customers. Any failure to deliver value would harm our business and materially adversely affect our operating results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to government entities and highly regulated organizations are subject to a number of challenges and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pursue U.S. government contracts as a revenue source. We may also target highly regulated organizations. Sales to such entities are subject to a number of challenges and risks. Selling to such entities can be highly competitive, expensive, and time consuming, often requiring significant upfront time and expense without any assurance that these efforts will generate a sale. Government contracting requirements may change and in doing so restrict our ability to sell into the government sector. Government demand and payment for our quantum computing application development solutions may be affected by public sector budgetary cycles and funding authorizations, with funding reductions or delays adversely affecting public sector demand for our quantum computing application development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governmental and highly regulated entities may demand contract terms that differ from our standard arrangements and may be less favorable than terms agreed with private sector customers.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governmental entities may also include preferential pricing terms, including, but not limited to, “most favored customer” pricing. In the event that we are successful in being awarded a government contract, such award may be subject to appeals, disputes, or litigation, including but not limited to bid protests by unsuccessful bidders.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government contractor or subcontractor, we will be required to comply with laws, regulations, and contractual provisions relating to the formation, administration, and performance of government contracts,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channel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All these factors can add further risk to business conducted with these customers. If sales from any government entity or highly regulated organization for a particular quarter are not realized in that quarter or at all, our business, financial condition, results of operations, and growth prospects could be materially and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could be materially affected by problems with or defects in the Orquestra platform or our other software offerings.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issues commonly facing all providers of commercial software, the development of our quantum computing application development solutions involves converting novel, complex scientific algorithms into software code. We may experience unintended design and/or implementation defects or other quality issues in our software code. We may also experience defects in the products and services of third parties on which we rely to provide our products and services, including third-party cloud providers. Problems can be caused by a variety of factors, including premature or failed introduction of new products, vulnerabilities or defects in proprietary and open source software, human error or misconduct, design limitations, or denial of service or other security-related incidents. We do not have a contractual right with our public cloud providers that will compensate us for any losses due to availability interruptions in the public cloud.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defects in the Orquestra platform or other software offerings, whether caused by defective design, defective coding, or defects introduced through third-party components; any disruptions in our ability to provide our quantum computing application development solutions, including by means of public cloud; and/or any other quality issues with our quantum computing application development solutions could affect our business reputation and brand, could cause us to spend material amounts to address the defects, could cause material delays in the execution of our business plan, and could have a material adverse effect on our business opportunities, revenue, and future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pursuit of inorganic growth opportunities could result in harm to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growth opportunities by acquiring complementary businesses or other assets for strategic purposes, such as companies with products and services used in, complementary to, or overlapping with our offerings; companies with an IP portfolio that could complement ours; companies with customer lists that could shorten the sales cycle to significant customers. The pursuit of such strategic opportunities could be both expensive and distracting, could have a significant impact on the company’s capital structure, and even if a transaction is completed as desired the results may not be as predicted. To the extent such opportunities may arise, there can be no assurance that the pursuit of any such opportunities will succeed and, if they fail, they could have a material adverse effect on our business and future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Competition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Competitors may develop products and technologies that are superior to our quantum computing application development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is based on the belief that the value of our quantum computing application development solutions will be enhanced by delivering, in a single unified software platform, the ability to: allow deployment in any desired environment; permit the development or implementation of applications and services that are capable of data handling tasks, including processing data in a manner calculated to maximize the performance of quantum and hybrid computing solutions, and leveraging AI to accelerate quantum application development. While we believe our approach is differentiated, other companies are actively developing quantum software, benchmarking, and workflow tools that may overlap with or compete against ours. Further, a prolonged delay in re-starting revenue-generating operations will give our competitors a timing advantage to enter and pursue market opportunities which we may have otherwise have had an opportunity to pursue, which delay and resulting disadvantage will continue until we can raise sufficient capital and hire the necessary personnel to pursuant our business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existing and potential competitors have, or could have, substantial competitive advantages such as: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greater name recognition, longer operating histories, and larger customer bases;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larger sales and marketing budgets and resources and the capacity to leverage their sales efforts and marketing expenditures across a broader portfolio of products and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existing, broader, deeper, or otherwise more established relationships with sales partners and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wider geographic presence or greater access to larger customer bases;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greater focus in specific geographies or industries;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lower labor and research and development costs;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larger and more mature intellectual property portfolios;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substantially greater financial, technical, and other resources to provide support, make acquisitions, hire talent, and develop and introduce new products and services.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a competitor will not develop a product superior to ours or one that is perceived by the market to be superior. Nor can there be any guarantee that a combination of products will not be able to provide solutions that are superior, or are perceived to be superior, to our quantum computing application development solutions. The introduction of such a product or combination of products could have a material adverse effect on our business, profitability,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quantum computing industry is highly competitive and we may not be successful in establishing ourselves as a viable competitor without regard to the value of our quantum computing application development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computing is an industry with great promise that has attracted global interest and participation. In addition, the recent rapid rise of the quantum computing industry has given rise to less-established public and private companies, including new startups, which may compete, in whole or in part, with our products and services. This competition in the market for quantum computing is already great and is expected to intensify over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compete successfully in this market, we must develop our products and technologies in a timely manner, effectively market these products against multiple competitors, and support these products at levels expected by enterprise customers. Delays in the introduction of products and services may cause potential customers to adopt competitors’ products, making it difficult or impossible for our products later to displace the competitive products without regard to the relative value of the respective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timely deliver products that will result in us having a material share of this market, even if our products are superior. Our inability to establish a position and market share in this highly competitive industry will adversely affect our future prospects and may cause the company to fail.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depends, in part, on access to public clouds computing through major cloud providers and there is no guarantee that access will be available on reasonable terms.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computing application development solutions will permit deployment of our software in various scenarios, including on the premises of a customer, hybrid clouds controlled by the customer, or a public cloud controlled by us. Although not necessary in all customer engagements, an important aspect of business plan is to make our quantum computing application development solutions available via a public cloud controlled by us. To accomplish this, we are required to negotiate cloud access with one or more cloud providers. Multiple large public cloud providers, such as Google and Microsoft, are both engaged in their own initiatives that could compete with our quantum computing application development solutions in whole or in part. There is a risk that a cloud provider important to our business plan could use control of their public cloud to deny or place us at a competitive disadvantage by various means, including embedding innovations or privileged interoperating capabilities in products competing with ours, bundling competing products, requiring unfavorable pricing, including terms or conditions or regulatory requirements that make our quantum computing application development solutions uncompetitive, or leveraging their existing relationships with our customers to pressure customers to use their products rather than ours. Further, if we fail to comply with requirements of these third parties, we could be denied access to a critical platform, which would have a material adverse effect on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we will be able to deploy our quantum computing application development solutions on public clouds controlled by competitors. The failure to be able to access public clouds, or the imposition of restrictive terms as a condition to such access, limit the adoption and use of our quantum computing application development solutions by customers, increase our operating expenses, damage our brand, and/or place us at a disadvantage when competing for customer accounts. Any of these could have a material adverse effect on our business operations, market share, and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depends, in part, on access to quantum processing units (QPUs), high-performance classical compute resources, and other specialized hardware either directly through the purchase of computing hardware and installation in data centers, or through third party providers. There is no guarantee that access through either path will be available on reasonable terms,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techniques developed by us require the use of specialized hardware to execute an algorithm in a time or cost-efficient manner as required by the constraints of an application. Access to this hardware can be obtained through the purchase of quantum or hybrid computing systems and installation in a data center or on-premise, or through a third-party infrastructure service provider. Hardware could be purchased or accessed from providers such as IBM, IonQ, D-Wave, Rigetti or NVIDIA. Many of these providers are also our competitors in that they operate in the quantum software space in addition to hardware. Supply chain problems, chip shortages, or regulatory or geopolitical conditions beyond our control including tariffs or trade restrictions could all impact our ability to access this hardware, either directly or through a third-party provider, and/or the prices we must pay for the hardware. Additionally, obtaining space in an existing facility and maintaining the hardware would require additional expertise that would need to be either hired or contracted by us, and identifying and hiring such experts could be costly and time-consuming. We could also face difficulties securing terms to host this hardware on reasonable terms, or at all, and we may be forced to incur substantial additional or unforeseen expenses to navigate these challenges.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instead of competing to purchase hardware directly, we could rent time on that hardware from classical or quantum cloud infrastructure service providers, such as Amazon AWS, Amazon Braket, Oracle Cloud, Microsoft Azure, or IBM Quantum. In this case, we would rely on third-party providers to provide cloud-based network access to these systems on an hourly, subscription, or other basis. However, there can be no assurance that these third-party providers could obtain or maintain access to quantum hardware on reasonable terms, or at all. If we are unable to access on favorable terms the necessary hardware to operate our business as needed to establish, sustain or grow our operations as planned, it will have a material adverse effect on our business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and pending patent applications owned by others exist relating to quantum computing, quantum inspired classical methods, algorithms and software, differential equations and optimization, and hardware optimization. In addition to those who may have patents or patent applications directed to relevant technology with an effective filing date earlier than any of our existing patents or pending patent applications,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patent applications succeed and we are issued patents in accordance with them,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In addition, patents issued to us may be infringed upon or designed around by others and others may obtain patents that it needs to license or design around, either of which would increase costs and may adversely affect our business, prospects, financial condition and operating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our IP will provide the desired competitive advantage.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provide ourselves with a competitive advantage by making key elements of our quantum computing application development solutions proprietary, through one of two means. First, we pursue patent protection for some inventions that we believe qualify for protection under the patent laws. In cases in which patent protection is sought, the details of the invention eventually will be made public in the normal course, usually within eighteen months of filing. As to these inventions, competitors will eventually know the details of and can use the inventions to compete with us, unless a patent is granted prohibiting such use and we can learn of violations and effectively enforce our patent rights in light of the costs and complexities involved in such enforcement litigation. Second, some elements of our quantum computing application development solutions we seek to protect as trade secrets. As to our trade secrets, competitors will not be able to know our techniques provided the trade secrets are not improperly disclosed, but if a competitor independently develops the same technique and files for and is granted patent protection we could find ourselves prohibited by the patent laws from practicing our trade secret technology.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our pending or future patent applications will be granted and provide us patent protection as to the claims in those applications. Moreover, we cannot guarantee that our patent rights will not be violated by competitors, that we will be able to detect such violations, or that if violations are detected we will be in a position effectively to enforce our patent rights. Nor can we guarantee that our trade secrets will remain secret and not be disclosed to competitors either inadvertently or through violation of contractual secrecy agreements, or that our trade secrets are not independently developed by competitors. The failure of our IP strategy to protect key elements of our quantum computing application development solutions could materially reduce any competitive advantage we might otherwise have and have a corresponding adverse effect on our market share and/or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services, or technologies, which could result in a significant expenditure and otherwise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intellectual property disputes. Intellectual property litigation is often extremely expensive and entails high legal fees and costs of expert witnesses.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For example, there may be issued patents of which we are unaware, held by third parties that, if found to be valid and enforceable, could be alleged to be infringed by our current or future products, services or technologies.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also may be pending patent applications of which we are not aware that may result in issued patents, which could be alleged to be infringed by our current or future products, services or technologies.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Lawsuits can be time-consuming and expensive to resolve, and they divert management’s time and attention. Numerous patents and pending patent applications owned by others exist in the fields in which we have developed and are developing our technology. 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any third-party claims against their use. In addition, many companies have the capability to dedicate substantially greater resources to enforce their intellectual property rights and to defend claims that may be brought against them. In a patent infringement claim against us, we may assert, as a defense, that we do not infringe the relevant patent claims, that the patent is invalid or both. The strength of our defenses will depend on the patents asserted, the interpretation of these patents, and its ability to invalidate the asserted patents. However, we could be unsuccessful in advancing non-infringement and/or invalidity arguments in its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Our patent portfolio may not be large enough to deter patent infringement claims, and our competitors and others may now and in the future have significantly larger and more mature patent portfolios. Any litigation may also involve patent holding companies or other adverse patent owners that have no relevant solution revenue, and therefore, our patent portfolio may provide little or no deterrence as it would not be able to assert its patents against such entities or individuals. If a third party is able to obtain an injunction preventing us from accessing such third-party intellectual property rights, or if we cannot license or develop alternative technology for any infringing aspect of our business, we may be forced to limit or stop sales of its products, services or technologies or cease business activities related to such intellectual property. Although the Company carries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its business, financial condition or results of operations. Any intellectual property litigation to which we might become a party, or for which it is required to provide indemnification, regardless of the merit of the claim or its defenses, may require us to do one or more of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cease selling or using solutions or services that incorporate the intellectual property rights that allegedly infringe, misappropriate or violate the intellectual property of a third party;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make substantial payments for legal fees, settlement payments or other costs or damages;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obtain a license, which may not be available on reasonable terms or at all, to sell or use the relevant technology;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redesign the allegedly infringing solutions to avoid infringement, misappropriation or violation, which could be costly, time-consuming or impossible;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indemnify organizations using our services or platform or third-party service providers.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claims do not result in litigation or are resolved in our favor, these claims, and the time and resources necessary to resolve them, could divert the resources of its management and harm its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infringement claims may grow as the market for our products, services and technologies grows. Accordingly, our exposure to damages resulting from infringement claims could increase and this could further exhaust its financial and management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third-party open source software could negatively affect our ability to offer and sell subscriptions to our quantum computing application development solutions and subject us to possible litigation.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technologies we use incorporates third-party open source software, and we may incorporate third-party open source software in our solutions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 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quantum computing application development solutions. Any of the foregoing could harm our business and could help our competitors develop platforms and applications that are similar to or better than ours.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companies that currently sponsor and maintain open source software may choose to change the terms of their open source software licenses. These license changes could cause us to lose access to upgrades for commercial use that are currently available to us or otherwise restrict the way we are currently using them. These changes could mean that we must invest engineering resources to maintain that library itself, move to a different underlying software library, or engineer a replacement in order to keep the same feature set in its offerings.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of the characteristics of open source software, there may be fewer technology barriers to entry by new competitors and it may be relatively easy for new and existing competitors with greater resources than we have to compete with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characteristics of open source software is that the governing license terms generally allow liberal modifications of the code and distribution thereof to a wide group of companies and/or individuals. As a result, others could easily develop new platforms and applications based upon those open source programs that compete with existing open source software that we support and incorporate into our quantum computing application development solutions. Such competition with use of the open 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 source software or hybrid proprietary and open source software offerings, potentially reducing the demand for, and putting price pressure on, our quantum computing application development solutions. In addition, some competitors make open source software available for free download and use or may position competing open source software as a loss leader. We cannot guarantee that we will be able to compete successfully against current and future competitors or that competitive pressure and/or the availability of open source software will not result in price reductions, reduced operating margins and loss of market share, any one of which could seriously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open source software programmers, many of whom we do not employ, or our own internal programmers do not continue to develop and enhance open source technologies, we may be unable to develop new technologies, adequately enhance our existing technologies or meet customer requirements for innovation, quality and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to a significant degree on a number of open source software programmers, or committers and contributors, to develop and enhance components of our quantum computing application development solutions. Additionally, members of the corresponding Apache Software Foundation Project Management Committees (“PMCs”), many of whom are not employed by us, are primarily responsible for the oversight and evolution of the codebases of important components of the open source data management ecosystem. If the open source data management committees and contributors fail to adequately further develop and enhance open source technologies, or if the PMCs fail to oversee and guide the evolution of open source data management technologies in the manner that we believe is appropriate to maximize the market potential of our solutions, then we would have to rely on other parties, or we would need to expend additional resources, to develop and enhance our quantum computing application development solutions. We also must devote adequate resources to our own internal programmers to support their continued development and enhancement of open source technologies, and if we do not do so, we may have to turn to third parties or experience delays in developing or enhancing open 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quantum computing application development solutions could cause our offerings to be less competitive, impair customer acceptance of our solutions, and result in delayed or reduced revenue for our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 and Litigation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United States and foreign laws related to privacy, data security, and data protection, it could adversely affect our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either directly or through our future customers, collaborators or end-users of our products, are or may become subject to a variety of laws and regulations regarding privacy, data protection, and data security. This includes the European Union’s (“EU”) General Data Protection Regulation (the “EU GDPR”). Other countries where we may seek to do business also may have data privacy laws we will be required to comply with. These laws and regulations are continuously evolving and developing. The scope and interpretation of the laws that are or may be applicable to us are often uncertain and may be conflicting, particularly with respect to foreign laws. The application of these laws and regulations can arise from our technology and applications, website, social media activities, relationships with third parties and their operations, or from other activities we undertake now or that we may undertake in the future. Data privacy and protection regulations are frequently broad in terms of scope of the information protected, activities affected, and geographic reach.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numerous United States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For example, the GDPR includes operational requirements for companies that receive or process personal data of residents of the EU that are broader and more stringent than those previously in place in the EU and in most other jurisdictions around the world. The GDPR includes significant penalties for non-compliance, including fines of up to €20 million or 4% of total worldwide revenue. Additionally, in June 2018, California enacted the California Consumer Privacy Act (the “CCPA”). The CCPA requires covered companies to provide California consumers with new disclosures and will expand the rights afforded consumers regarding their data. Fines for noncompliance may be up to $7,500 per violation. In September 2025, California amended the CCPA to (i) regulate technologies that replace or substantially replace human decisions, (ii) require comprehensive risk assessment reports that address specific processing activities that present a significant risk to a consumer’s privacy, and (iii) clarify when a cyber security audit must be conducted.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compliance with, and other burdens imposed by, the GDPR, CCPA, and other laws relating to data privacy and protection may limit the use or adoption of our products and services and/or require us to incur substantial compliance costs, which could have an adverse impact on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CCPA was enacted, the United States currently has at least 21 states – California, Colorado, Connecticut, Delaware, Indiana, Iowa, Kentucky, Maryland, Minnesota, Montana, Nebraska, New Hampshire, New Jersey, Oregon, Rhode Island, Tennessee, Texas, Utah, Virginia, Indiana, and Arkansas that have comprehensive data privacy laws in place, or enacted comprehensive data privacy laws set to soon take effect. An additional seven states have enacted narrower privacy laws – Florida, Maine, Michigan, Nevada, New York, Vermont, Washington and Wisconsin. As of May 2026, at least nine states with existing privacy statutes expanded the scope of their privacy frameworks, including Colorado, Connecticut, Virginia, Utah, Texas, Oregon, Montana, and Kentucky. However, this patchwork approach to privacy legislation could pose compliance and liability risks for companies that have multistate operations. Proposed and enacted bills in various states have similar rights in preexisting privacy legislation but differ in implementation and enforcement.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strive to comply with all applicable laws, policies, legal obligations, and industry codes of conduct relating to privacy, data security, and data protection. Our limited resources may adversely affect our compliance effort. Given that the scope, interpretation, and application of these laws and regulations are often uncertain and may be in conflict across jurisdictions, it is possible that these obligations may be interpreted and applied in a manner that is inconsistent from one jurisdiction to another and may conflict with other rules or our practices. Any failure or perceived failure by us, customers, or third-party vendors or end-users involved with our products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are continuing to focus on privacy and data security, and it is possible that new privacy or data security laws will be passed or existing laws will be amended in a way that is material to our business. Any significant change to applicable laws, regulations, or industry practices regarding the personal data of our employees, agents or customers could require us to modify our practices and may limit our ability to expand or sustain our salesforce or bring our products to market. Changes to applicable laws and regulations in this area could subject us to additional regulation and oversight, any of which could significantly increase our operating costs and materially affect our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privacy, data protection and security laws, we may become subject to contractually mandated standards and/or industry standards adopted by industry groups, as well as other potential obligations related to privacy, data protection and security, and our efforts to comply with such obligations may not be successful.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related to privacy, data protection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times fail, or be perceived to have failed, in our efforts to comply with our privacy, data protection or security obligations. Moreover, despite our efforts, our personnel or third parties on whom we rely may fail, or be perceived to have failed, to comply with such obligations, which could negatively impact our business operations. If we or the third parties on which we rely fail, or are perceived to have failed, to address or comply with applicable privacy, data protection or security obligations, we could face significant consequences, including but not limited to: government enforcement actions (e.g., investigations, fines, penalties, audits, inspections, and similar events);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interruptions or stoppages in our business operations or data collection; limited ability to develop or commercialize our products; expenditure of time and resources to defend any claim or inquiry; adverse publicity; or substantial changes to our business model or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data use, privacy, and security laws will be an inherent feature in our product design and a change in those laws could negatively affect the value of our quantum computing application development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provide quantum computing application development solutions to large enterprise users located anywhere in the world. We anticipate that the data required to be processed by such solutions can be located in different jurisdictions, subject to different and changing data laws. We also anticipate that our future enterprise customers may have their own policies with respect to the manner in which the data they maintain can be handled, stored, and used. Our quantum computing application development solutions are and will continue to be designed to permit compliance with any applicable data laws or internal IT policy of enterprise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however, that our software product design is adequate to permit the deployment of our quantum computing application development solutions in compliance with existing data laws or customer policies or that these laws and/or policies will not change in the future in a way that makes deployment of our solutions impossible or more costly. A failure on our part to design and re-design our software platform to permit compliance with applicable data laws and customer policies could limit our sales, harming our growth and profitability, or in the worst case create substantial contract liability to a customer for causing a breach of applicable data laws with respect to the customer’s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anti-bribery, and similar laws, the violation of which can lead to substantial harm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anti-corruption and anti-bribery laws in the U.S., including the U.S. Foreign Corrupt Practices Act of 1977, as amended, and the U.S. domestic bribery laws, and other anti-corruption and anti-money laundering laws in any countries in which we conduct activities. Such laws prohibit companies, their employees, and their third-party agents and representatives from authorizing, promising, offering, soliciting, or accepting, directly or indirectly, improper payments or benefits to or form any person whether in the public or private sector. Awareness of and compliance with these laws is of particular concern to us, because we are and intend in the future to be doing business with both U.S. and foreign entities, some of which are affiliates of the U.S. or foreign governments. In addition, our business is likely to require us to seek governmental approvals from time to time. Detecting, investigating, and resolving any actual or alleged violations of these laws can be expensive and time-consuming.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our efforts to comply with these laws will be successful and a failure to comply, whether such failure results from the actions of our own employees or a third-party representing us, could result in costly internal or outside investigations, whistleblower complaints, governmental investigations and enforcement actions, substantial financial settlements, fines or other criminal penalties, injunctions or other bans limiting our ability to do business, reputational harm, and other collateral consequences, any of which could have a material adverse effect on our profitability and the value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we have customers outside the United States, we may be subject to increased business and economic risks that could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have customers and business development activities in countries outside of North America, including Asia (e.g., Japan and Singapore) and Europe (e.g., the United Kingdom, Spain and Denmark). Subject to cash availability, we plan to include international markets in addition to prospective U.S.-based customers in our marketing efforts. Any new markets or countries into which we attempt to sell our quantum computing application development solutions may not be receptive. For example, we may not be able to expand further in some markets if we are not able to satisfy certain government-and industry-specific requirements. In addition, our ability to manage our business and conduct our operations internationally in the future may require considerable management attention and resources and is subject to the particular challenges of supporting an early stage company with limited resources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recruiting and retaining talented and capable employees outside the United States and maintaining our company culture across all of our offices;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potentially different pricing environments, longer sales cycles, and longer accounts receivable payment cycles and collections issues;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operating in jurisdictions that do not protect intellectual property rights to the same extent as does the United States and the practical enforcement of such intellectual property rights outside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securing our locally operated systems and our data and the data of our customers and partners accessible from such jurisdictions;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compliance by us and our business partners with anti-corruption laws, import and export control laws, tariffs, trade barriers, economic sanctions, anti-money laundering laws and other regulatory limitations on our ability to provide our quantum computing application development solutions in certain international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foreign exchange controls that might require significant lead time in setting up operations in certain geographic territories and might prevent us from repatriating cash earned outside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political and economic instability, including military actions affecting Russia, Ukraine, the Middle East and/or surrounding regions, changes in political conditions in China and changes in the state of China-U.S. relations, including any developments or tensions relating to tariffs and “trade wars” between the U.S. and China and potential military conflict between China and Taiwan;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in diplomatic and trade relationships, including the imposition of new trade restrictions, trade protection measures, import or export requirements, trade embargoes, and other trade barriers;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generally longer payment cycles and greater difficulty in collecting accounts receivable;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double taxation of our international earnings and potentially adverse tax consequences due to changes in the income and other tax laws of the United States or the international jurisdictions in which we operate;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higher costs of doing business internationally, including increased accounting, travel, infrastructure, and legal compliance costs.</w:t>
            </w:r>
          </w:p>
        </w:tc>
      </w:tr>
    </w:tbl>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Outside Our Specific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relies on computer systems which are vulnerable to attack and/or failure.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the case with nearly every business, we rely on computers and computer networks, both public and private, to perform most of the actions required for us to do business, including internal and external communications, development of our software and IP, storage of our business and financial records, and deployment of our quantum computing application development solutions. Such computer systems are inherently susceptible to unintentional failures as well as various forms of cyber-attack, including denial of service attacks, ransomware attacks, email hacking and phishing, computer malware and viruses, and social engineering attacks. Like other companies, we may also be the subject of unauthorized access resulting from employee negligence or misconduct. These risks are potentially greater for us because the nature of our business provides an additional incentive for bad actors, including foreign nation states and domestic and foreign businesses, to attack our systems for the purpose of gaining information about generative AI, quantum computing and quantum algorithms, the development of which currently is a priority for many businesses and countries.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Orquestra platform is built to be accessed through third-party public cloud providers such as Amazon AWS and Micrsoft Azure. These providers may also experience breaches and attacks to their products which may impact our systems. Data security breaches may also result from non-technical means, such as actions by an employee with access to our systems. While we and our third-party cloud providers have implemented security measures designed to protect against security breaches, these measures could fail or may be insufficient, resulting in the unauthorized disclosure, modification, misuse, destruction, or loss of sensitive or confidential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technology systems, or those of the third parties upon whom we rely. A security incident or other interruption could disrupt our ability (and that of third parties upon whom we rely) to provide our platform or other software. Any actual or potential security breach of our software, our operational systems, our physical facilities, or the systems or facilities of our vendors, or the perception that one has occurred, could result in adverse consequences, such as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perceived or asserted to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 with further financial, operational, and reputational damage.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 In addition, laws, regulations, government guidance, and industry standards and practices in the United States and elsewhere are rapidly evolving to combat these threats. We may face increased compliance burdens regarding such requirements from regulators and customers regarding our products and services and also incur additional costs for oversight and monitoring of security risks relating to our own services. Most jurisdictions have enacted laws requiring companies to notify individuals, regulatory authorities, and others of security breaches involving certain types of data. In addition, our agreements with certain customers and partners may require us to notify them in the event of a security breach involving customer or partner data on our systems.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may cause us to breach customer contracts.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litigation (including class claims); indemnification obligations; negative publicity; reputational harm; monetary fund diversions; interruptions in our operations (including availability of data); financial loss; and other similar harms. Litigation resulting from security breaches may adversely affect our business. Unauthorized access to our software,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software capabilities in response to such litigation, which could have an adverse effect on our business. If a security breach were to occur, and the confidentiality, integrity or availability of our data or the data of our partners or our customers was disrupted, we could incur significant liability, or our software, systems, or networks may be perceived as less desirable, which could negatively affect our business and damage our reputation.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that our insurers will not deny coverage as to all or part of any future claim or loss. Our risks are likely to increase if we commercialize our business, and we store, transmit, and otherwise process increasingly large amounts of proprietary and sensitive data. There can be no assurance that we can successfully prevent such occurrences, which could damage our reputation and/or result in the theft our important IP, either of which could damage our business prospects and future profitability.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Widespread damage to the U.S. or global economy and/or our industry would likely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economy and the global economy as a whole are susceptible to conditions unrelated to us or the computing industry, including the possibility of an economic recession, international trade wars, natural catastrophes, climate change, and terrorism, or other matters that could have a general widespread negative impact on global commerce. In recent times, the probability of a recession and/or market downturn in the near term has increased in recent times due to wars and geopolitical conflicts including those in the Middle East, Ukraine and Latin America, the impact of tariffs and related litigation, potential inflation, reductions in consumer sentiment, uncertainty and volatility in the capital markets and the possibility of deteriorating labor market. Any such condition or development could affect our business in one or more of a variety of ways, including reducing or eliminating the availability of capital at a time when we require such capital, denying us the ability to sell our quantum computing application development solutions in certain countries around the world, restricting our ability to hire qualified employees needed to effectuate our business plan, diminishing our ability to obtain customers, causing customers to reduce or eliminate their expenditures on quantum techniques enhanced software or generative AI computing, and/or preventing customers from paying amounts owed to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many market analysts and other stakeholders have voiced growing concerns that the technology sector, including AI and quantum-focused businesses, are potentially overvalued and could be in a stock market “bubble” characterized by extreme valuations and unsustainable stock price growth over the past few years. If these views prove to be correct, or if the public begins to perceive such concerns as valid, it could result in a severe market correction or downturn, which could materially adversely affect us, including by limiting or preventing us from raising capital and by diminishing our customer base and market for our products and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the U.S. or global economies could materially harm our business and if we are unable to persevere through such adverse conditions could cause us to fail.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are difficult issues to navigate in the development and use of AI, which may result in reputational harm or liability, and failure to introduce new and innovative solutions that have AI capabilities could put us at a competitive disadvantage.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machine learning and AI capabilities into certain of our solutions and operating activities, and may seek to expand the use of AI in our solutions in the future. As with many innovations, AI presents risks, challenges, and unintended consequences that could affect our business. AI algorithms and training methodologies may be flawed. These deficiencies and other failures of AI systems could subject us to competitive harm, regulatory action, legal liability, and brand or reputational harm. Further, incorporating AI could give rise to litigation risk and risk of non-compliance and unknown cost of compliance, as AI is an emerging technology for which the legal and regulatory landscape is not fully developed (including potential liability for breaching intellectual property or privacy rights or laws).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offerings. If we adopt AI functions in our solutions and operations, we will be subject to the foregoing risks, any of which could have a material adverse affect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leveraging AI capabilities to potentially improve internal functions and operations presents further risks and challenges. The use of AI to support business operations carries inherent risks related to data privacy and security, such as intended, unintended, or inadvertent transmission of proprietary, sensitive or export-controlled information, as well as challenges related to implementing and maintaining AI tools. Additionally, our competitors may be quicker than we are in gaining efficiencies by incorporating AI into their design and development processes, and our solutions and/or cost structure could become less competitive as a result. The rapid evolution of AI will require the application of resources by us to develop, test and maintain our services and operations to help ensure that AI is implemented ethically in order to minimize unintended, harmful impact. Any inability or issues arising in our efforts to navigate developments presented by AI and other emerging technologies could materially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Ownership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of the number of shares of Common Stock issuable upon conversion and exercise of outstanding securities, holders of our Common Stock will experience substantial future dilution and downward price pressure on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187,303,921 shares of our Common Stock issued and outstanding as of July 8, 2026. We will be obligated to issue all or very many of the following shares of Common Stock which will dilute our current stockholders: (1) 75,000,000 shares of Common Stock issuable upon exercise of convertible notes, (2) 85,063,587 shares of Common Stock issuable upon exercise of outstanding warrants, (4) 46,143,786 shares of Common Stock issuable upon conversion of our Series C Convertible Preferred Stock and Series D Convertible Preferred Stock, and (5) 40,857,265 shares of Common Stock issuable upon exercise of outstanding stock options. In addition, we expect to issue additional securities in the near future in order to raise capital and to hire and retain personnel, and also may issue additional securities including potentially in the short term to raise capital or engage in strategic transactions. Of the securities described in (1) – (5) above, 179,733,000 shares of Common Stock are subject certain Universal Resale and Registration Provisions (the “Resale Provisions”) pursuant to which such recipients agreed to certain lock-up provisions restricting and limiting their sale, transfer, pledge, or disposal of any shares of Common Stock held by or issuable to such recipients for a period ending 12 months following the date of a resale registration statement with respect to the Common Stock comprising or underlying such securities is declared effective by the Securities and Exchange Commission (“SEC”) (such period, the “Lock-Up Period”). The Resale Provisions provide that up to 10% of each holder’s shares may be sold or transferred during the first 90 days following such effective date, and up to 25% of such holder’s shares may be sold or transferred in each subsequent 90 day period thereafter for the remainder of the Lock-Up Period; and that during each of the third and fourth ninety 90 day periods referred to above, each holder may sell or transfer up to an additional 10% of its shares, but only to the extent such amount represents shares that were eligible for sale or transfer in prior periods but were not sold or transferred by such holder. The Resale Provisions also contains certain additional limitations and exceptions with respect to such lock-up provisions, including a volume limitation on the holders’ sales of shares pursuant to which the holders collectively may not sell more than 10% of the shares in a given trading day, and the cessation of the Lock-Up Period and termination of such lock-up provisions if certain events do not occur within a specified time and as more particularly set forth therein. Pursuant to the Resale Provisions the Company also agreed to provide the holders with registration rights pursuant to which, if the Company closes a securities offering resulting in gross proceeds of at least $5 million, the holders shall have “piggy back” registration rights for the inclusion for resale of their shares to be registered on any subsequent registration statement filed with the SEC in connection with such offering. The Company also agreed to file a registration statement for the holders’ sales of shares by June 8, 2026, and to cause such registration statement to be declared effective within 90 days thereafter. The registration statement of which this Prospectus is a part is being filed in connection with these obligations. The Company also agreed to provide the holders with certain indemnification rights in connection with such registration rights.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Further, under the Resale Provisions, if the Company fails to adhere to the above requirements, the Lock-Up Period immediately ends and the Resale Provisions cease to be in effect, in which case all 179,733,000 shares of Common Stock as described above which are subject to the Resale Provisions will become immediately sellable by the holders without any contractual restrictions. Such event could result in a high volume of sales in a short period of time, which could result is significant downward pressure on our stock price and volatility in the trading of our Common Stock. See “</w:t>
      </w:r>
      <w:hyperlink w:anchor="s1_029">
        <w:r>
          <w:rPr>
            <w:rStyle w:val="InternetLink"/>
            <w:rFonts w:ascii="Times New Roman;Times;Serif" w:hAnsi="Times New Roman;Times;Serif"/>
            <w:b w:val="false"/>
            <w:i w:val="false"/>
            <w:caps w:val="false"/>
            <w:smallCaps w:val="false"/>
            <w:sz w:val="20"/>
          </w:rPr>
          <w:t>Private Placements – Universal Resale and Registration Provisions</w:t>
        </w:r>
      </w:hyperlink>
      <w:r>
        <w:rPr>
          <w:rFonts w:ascii="Times New Roman;Times;Serif" w:hAnsi="Times New Roman;Times;Serif"/>
          <w:b w:val="false"/>
          <w:i w:val="false"/>
          <w:caps w:val="false"/>
          <w:smallCaps w:val="false"/>
          <w:sz w:val="20"/>
        </w:rPr>
        <w:t>” on page 41.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expect to obtain financing or to further increase our capital resources by issuing additional shares of our capital stock or offering debt (subject to the limitations under the existing agreements) or other equity securities, including senior or subordinated notes, debt securities convertible into equity, or shares of preferred stock. Issuing additional shares of capital stock, other equity securities, or securities convertible into equity may dilute the economic and voting rights of our then-existing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its control, which may adversely affect the amount, timing, or nature of its future offerings. As a result, holders of our Common Stock bear the risk that our future offerings may reduce the market price of our Common Stock and dilute their percentage ownership.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shares of Common Stock is subject to volatility.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may continue to be volatile and fluctuate substantially, which could cause the value of your investment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fluctuations in the trading price of our Common Stock include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price and volume fluctuations in the overall stock market from time to time;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volatility in the trading prices and trading volumes of technology industry stocks;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in operating performance and stock market valuations of other technology companies generally, or those in our industry in particular;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sales of shares of our Common Stock or Common Stock equivalents by stockholders or by us, including sales by the various creditors we exchanged equity for liabilities in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timing and impact of developments related to contractual agreements we have entered into or may in the future enter into with respect to our securities, including with respect to the Resale Provisions described above an any capital raising or strategic transactions we pursue in the future;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failure of securities analysts to maintain coverage of us, changes in financial estimates by securities analysts who follow our company or our failure to meet these estimates or the expectations of investors;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financial projections we may provide to the public, any changes in those projections or our failure to meet those projections;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announcements by us or our competitors of new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public’s reaction to our press releases, other public announcements and filings with the SEC, including the registration statement of which this prospectus is a part;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rumors and market speculation involving us or other companies in our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actual or anticipated changes in our results of operations or fluctuations in our results of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actual or anticipated developments in our business, our competitors’ businesses or the competitive landscape generally;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litigation involving us, our industry or both, or investigations by regulators into our operations or those of our competitors;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developments or disputes concerning our intellectual property or other proprietary rights;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announced or completed acquisitions of businesses, services or technologies by us or our competitors;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new laws or regulations or new interpretations of existing laws or regulations applicable to our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in accounting standards, policies, guidelines, interpretations or principles;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any significant change in our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economic instability in the global financial markets and slow or negative growth of our markets;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other factors described in this “</w:t>
            </w:r>
            <w:hyperlink w:anchor="s1_006">
              <w:r>
                <w:rPr>
                  <w:rStyle w:val="InternetLink"/>
                </w:rPr>
                <w:t>Risk Factors</w:t>
              </w:r>
            </w:hyperlink>
            <w:r>
              <w:rPr/>
              <w:t>” section.</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currently a limited trading market for the Company’s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quoted on the OTCQB under the symbol “ZPTA.” Because of our quotation on the OTCQB, there has been and we expect that there will continue to be a limited trading market in our Common Stock with sporadic and volatile changes in the volume and prices of trades, rendering trading in our Common Stock at any given time speculative and risky. We cannot assure you that a consistent, active trading market or price or volume stability will develop or be maintained. Trading on the OTCQB is less liquid than the leading national securities exchanges and a higher tier OTC quotation system. The lack of a consistent active market and other aspects of trading in our Common Stock as described above may impair your ability to sell your shares at the time you wish to sell them or at a price or quantity that enables you to realize a profit on your investment or that you otherwise consider reasonable.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a “penny stock” and thereby be subject to additional sale and trading regulations that may depress the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a “penny stock” if it does not qualify for one of the exemptions from the definition of “penny stock” under Section 3a51-1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result or effect of being designated a penny stock is that securities broker-dealers participating in sales of our Common Stock are discouraged from soliciting purchases of our Common Stock by the SEC’s rules which generally results in low prices and limited trading volume. For example, SEC Rule 15g-2 requires broker-dealers dealing in penny stocks to provide potential investors with a document disclosing the risks of penny stocks and to obtain a manually signed and dated written receipt of the document at least two business days before effecting any transaction in a penny stock for the investor’s account. 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and time consuming for holders of our Common Stock to resell their shares to third parties or to otherwise dispose of them in the market or otherwise. In addition, clearing firms, which hold retail accounts dislike penny stocks and through extra compliance efforts and costs they impose, make it hard to sell penny stocks.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former shell company, we face certain disadvantages relative to other companies, including ineligibility for certain forms and rules for extended periods.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Until 2024, we were a special purpose acquisition company which is a form of shell company under the rules of the SEC. Shell companies are more highly regulated than non-shell operating companies and face certain restrictions on their activities under federal securities laws. However, companies that were formerly shell companies continue to face disadvantages under SEC rules, including (a) limitations on its stockholders to receive unrestricted stock certificates and use the Rule 144 exemption,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and (e) exclusion from certain safe harbors for offering-related communications under the Securities Act for three years after ceasing to be a shell company, including for research reports and certain communications in connection with business combinations. For more information about Rule 144 and its potential impact on our stockholders, please see the section titled “</w:t>
      </w:r>
      <w:hyperlink w:anchor="s1_009">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in this Prospectus. We expect that these disadvantages will make it more challenging and expensive, and create greater risks and delays, for us and our stockholders to offer securities. These challenges may make our securities less attractive than those of companies that are not former shell companies and may raise our relative cost of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uplist to a national securities exchange within a reasonable period of time or at all, in which event investors’ ability to sell shares of our Common Stock will be materially hindered.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previously listed on The Nasdaq Global Market until it was delisted in March 2025 following our operational cessation in October 2024. Following a period of inactivity, we recently became current in our SEC filings by filing Quarterly Reports on Form 10-Qs and an Annual Report on Form 10-K for the fiscal periods from December 31, 2024 through September 30, 2025, and thereafter on June 16, 2026 our Common Stock became quoted on the OTCQB, a higher-tiered market operated by the OTC. Markets, Group, Inc. Subject to compliance with applicable initial listing standards, which as described below is subject to uncertainty, the Company intends to seek uplisting of its Common Stock on a national securities exchange such as an exchange operated by The Nasdaq Stock Market, LLC (as applicable, an “Exchange”).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initial listing standards and related rules and policies of the Exchanges and circumstances surrounding the Company and its Common Stock, the Company anticipates facing significant challenges in its ability to achieve uplisting to an Exchange in the near term. The initial listing standards each Exchange generally require certain minimum criteria be met with respect to the bid price, market capitalization and financial performance of the Company and its Common Stock. Further, given our operational cessation in 2024 we may be unable to qualify in the near term for potential standards for listing which require two years of operating history, which could significantly delay our ability to become listed on an Exchange. Further, one potential standard for listing requires us to maintain a closing bid price of at least $4.00 for at least 90 trading days, among other required criteria. In addition to the fact that given our current stock price this would require us to effect a reverse stock split in an effort to achieve that minimum price, there is substantial uncertainty as to our ability to maintain that minimum closing bid price for a prolonged period of time, particularly given our quotation on the OTCQB and the volatility of our stock price. We may be unable to successfully navigate or address these challenges, which could significantly delay or prevent us from uplisting to an Exchange. If the Company is unable to uplist to an Exchange, it would negatively impact both investors’ ability to sell their shares and the market for such shares, and the Company’s ability to raise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analysts do not publish research or reports about our business or if they publish negative evaluations of our Common Stock, the market price and trading volume of our Common Stock could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rely, in part, on the research and reports that industry or financial analysts publish about us or our business. We have limited research coverage by industry or financial analysts. If no, or few, additional analysts commence coverage of us, the trading price of our Common Stock would likely decrease.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stock price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may authorize and issue shares of new series of preferred stock that could be superior to or adversely affect current holders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power to authorize and issue shares of classes of stock, including preferred stock that have voting powers, designations, preferences, limitations and special rights, including preferred distribution rights, conversion rights, redemption rights and liquidation rights without further stockholder approval which could adversely affect the rights of the holders of our Common Stock. In addition, our Board could authorize the issuance of a series of preferred stock that is convertible into our Common Stock, which could result in dilution to our existing Common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actions could significantly adversely affect the investment made by holders of our Common Stock. Holders of Common Stock could potentially not receive dividends that they might otherwise have received. In addition, holders of our Common Stock could receive less proceeds in connection with any future sale of the Company, in liquidation or on any other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incurring significant increased costs as a result of being a public company, and our management will be required to devote substantial time to new compliance initiatives.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have incurred and will continue to incur significant legal, accounting and other expenses that Legacy Zapata did not incur as a private company. These expenses may increase even more after we are no longer an “emerging growth company.” Our management and other personnel will need to devote a substantial amount of time and incur significant expense in connection with compliance initiatives. For example, we will need to implement additional internal controls, both generally and to address the material weaknesses discussed in this Prospectus, and disclosure controls and procedures, retain a transfer agent and adopt an insider trading policy. As a public company, we bear all of the internal and external costs of preparing and distributing periodic public reports in compliance with our obligations under the securities laws.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regulations and standards relating to corporate governance and public disclosure, including the Sarbanes-Oxley Act, and the related rules and regulations implemented by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we could be subject to the delisting of our Common Stock, fines, sanctions and other regulatory action, which may be harmful to its business.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its audit committee and compensation committee, and qualified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our size, we have a limited management team, which has limited experience in operating a public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only have one executive officer, who acts as both our Chief Executive Officer and Chief Financial Officer, and has limited experience in the management of a publicly traded company. Until we are able to raise the capital to broaden our management, we may be handicapped in managing our business and our public company obligations. Executives’ limited experience in dealing with the increasingly complex laws pertaining to public companies could be a significant disadvantage as they will likely need to devote an increasing amount of their time to these activities, resulting in less time being devoted to our management and growth. We may not have adequate personnel with the appropriate level of knowledge, experience, and training in the accounting policies, practices or internal controls over financial reporting required of public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intend to pay cash dividends on our Common Stock, so any returns will be substantially limited to the value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current plans to pay any cash dividends on our Common Stock. The declaration, amount and payment of any future dividends on shares of our Common Stock will be at the sole discretion of our Board as well as restrictions imposed by the DGCL. We currently anticipate that we will retain future earnings for the development, operation and expansion of its business and do not anticipate declaring or paying any cash dividends from future earnings for the foreseeable future. In addition, our ability to pay dividends may be limited by covenants under indebtedness that we or our subsidiaries may incur in the future, or the terms of preferred stock, as well as other limitations and restrictions imposed by law. As a result, you may not receive any return on an investment in our Common Stock unless you sell our Common Stock at a greater price than that which you paid for 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designates a state or federal court located within the State of Delaware as the exclusive forum for certain disputes between our stockholders and us, and also provides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to the selection of an alternative forum, the Court of Chancery of the State of Delaware will, to the fullest extent permitted by applicable law, be the sole and exclusive forum for any internal or intra-corporate claim or any action asserting a claim governed by the internal affairs doctrine, including, but not limited to, (i) any derivative action brought by a stockholder on our behalf, (ii) any claim of breach of a fiduciary duty owed by any of our directors, officers, stockholders, or employees and (iii) any claim against us arising under our Certificate of Incorporation, Bylaws or the DGCL. The Certificate of Incorporation designates the United States District Court for the District of Delaware as the exclusive forum for the resolution of any complaint asserting a cause of action arising under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forum provision will not apply to claims under the Exchange Act, but will apply to other state and federal law claims including actions arising under the Securities Act.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may have the effect of increasing costs for investors to bring a claim against us and our directors and officers and of limiting a stockholder’s ability to bring a claim in a judicial forum that it finds favorable for disputes with us or any of our directors, officers, other employees or stockholders, which may discourage (but not prevent) lawsuits with respect to such claims.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provisions in our Certificate of Incorporation and Bylaws might discourage, delay or prevent a change in control of the Company or changes in our management and, therefore, depress the trading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Delaware corporation and the anti-takeover provisions of the DGCL may discourage, delay or prevent a change in control by prohibiting us from engaging in a business combination with an interested stockholder for a period of three years after the person becomes an interested stockholder without the approval of holders of two-thirds of the voting power of our stockholders other than the interested stockholder, even if a change of control would be beneficial to our existing stockholders. In addition, our Certificate of Incorporation and Bylaws contain provisions that may make the acquisition of the Company more difficult,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Board is classified into three classes of directors with staggered three-year terms, and directors can only be removed from office for cause (which is not defined) by the affirmative vote of holders of at least a majority of the voting power of our then-outstanding capital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certain amendments to our Certificate of Incorporation will require the approval of stockholders holding two-thirds of the voting power of its then-outstanding capital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stockholders will only be able to take action at a meeting of stockholders and will not be able to take action by written consent for any matter;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vacancies on our Board will be able to be filled only by our Board and not by stockholders;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certain litigation against us can only be brought in Delaware;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Certificate of Incorporation authorizes undesignated preferred stock, the terms of which may be established by our Board, which shares may be issued without the approval of the holders of our capital stock;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advance notice procedures apply for stockholders to nominate candidates for election as directors or to bring matters before an annual meeting of stockholders.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defenses could discourage, delay, or prevent a transaction involving a change in control of the Company. These provisions could also discourage proxy contests and make it more difficult for stockholders to elect directors of their choosing or to cause us to take other corporate actions they desire, any of which, under certain circumstances, could limit the opportunity for our stockholders to receive a premium for their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(the “JOBS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earlier of (1) the last day of the fiscal year (a) following the fifth anniversary of the completion of our initial public offering, (b) in which we have total annual gross revenue of over $1.235 billion or (c) in which we are deemed to be a large accelerated filer, which means the market value of our Common Stock held by non-affiliates exceeds $700 million as of the last business day of the second fiscal quarter of such year and (2) the date on which we have issued more than $1.0 billion in non-convertible debt during the prior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are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any non-voting Common Stock held by non-affiliates is less than $250 million measured on the last business day of our second fiscal quarter, or our annual revenue is less than $100 million during the most recently completed fiscal year and the market value of our voting and any non-voting Common Stock held by non-affiliates was less than $700 million measured on the last business day of our second fiscal quarter. To the extent we take advantage of such reduced disclosure obligations, it may also make comparison of our financial statements with other public companies difficult or impossible.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1_007"/>
      <w:bookmarkEnd w:id="8"/>
      <w:r>
        <w:rPr>
          <w:rFonts w:ascii="Times New Roman;Times;Serif" w:hAnsi="Times New Roman;Times;Serif"/>
          <w:b/>
          <w:i w:val="false"/>
          <w:caps w:val="false"/>
          <w:smallCaps w:val="false"/>
          <w:sz w:val="20"/>
        </w:rPr>
        <w:t>THE PRIVATE PLACEMENTS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overview of the private placement transactions in which the Selling Stockholders participated and pursuant to which the Selling Stockholders received the shares of Common Stock, or Convertible Securities pursuant to which shares of Common Stock are issuable, to which the registration statement of which this Prospectus forms a part relates and certain rights incident thereto.</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D Convertible Preferred Stock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$15,000,000.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offering, the Company entered into a Securities Purchase Agreement and Registration Rights Agreement with the investors. Pursuant to the Registration Rights Agreement, the Company agreed to file a registration statement registering the resale of the shares of Common Stock underlying the Series D and Warrants by June 22, 2026 and to cause it to become effective by August 21, 2026, subject to the terms and conditions set forth therein. The registration statement of which this Prospectus is a part is being filed in connection with these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engaged placement agents to assist with the offering. The compensation for the placement agents consists of: (i) the issuance of warrants to purchase an amount of common stock equal to 2% of the shares of common stock issuable upon conversion of the Series D, which resulted in </w:t>
      </w:r>
      <w:r>
        <w:rPr>
          <w:rFonts w:ascii="Times New Roman;Times;Serif" w:hAnsi="Times New Roman;Times;Serif"/>
          <w:b w:val="false"/>
          <w:i w:val="false"/>
          <w:caps w:val="false"/>
          <w:smallCaps w:val="false"/>
          <w:sz w:val="20"/>
          <w:shd w:fill="FFFFFF" w:val="clear"/>
        </w:rPr>
        <w:t xml:space="preserve">683,215 Financing Activity Warrants issued to the placement agents in the offering </w:t>
      </w:r>
      <w:r>
        <w:rPr>
          <w:rFonts w:ascii="Times New Roman;Times;Serif" w:hAnsi="Times New Roman;Times;Serif"/>
          <w:b w:val="false"/>
          <w:i w:val="false"/>
          <w:caps w:val="false"/>
          <w:smallCaps w:val="false"/>
          <w:sz w:val="20"/>
        </w:rPr>
        <w:t>and (ii) a cash fee equal to 6% of the gross proceeds received by the Company in the offering. The Financing Activity Warrants issued to the placement agents are included in the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bookmarkStart w:id="9" w:name="conversionags"/>
      <w:bookmarkEnd w:id="9"/>
      <w:r>
        <w:rPr>
          <w:rFonts w:ascii="Times New Roman;Times;Serif" w:hAnsi="Times New Roman;Times;Serif"/>
          <w:b w:val="false"/>
          <w:i w:val="false"/>
          <w:caps w:val="false"/>
          <w:smallCaps w:val="false"/>
          <w:sz w:val="20"/>
          <w:u w:val="single"/>
        </w:rPr>
        <w:t>Conversion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12, 2025 through June 18, 2025, the Company entered into Conversion Agreements (the “Conversion Agreements”) with certain creditors of the Company under which such creditors agreed to exchange a total of $10,100,256 of accounts payable and other liabilities to such creditors in exchange for the Company’s issuance of 27,330,000 shares of the Company’s Common Stock to such creditors. In addition, two of these creditors will be receiving convertible preferred stock in lieu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series of Conversion Agreements with certain creditors. Pursuant to the Conversion Agreements, certain creditors agreed to exchange $4,429,000 of accounts payable and accrued expenses for the issuance of 11,983 shares of the Company’s Series C Convertible Preferred Stock, which subject to beneficial ownership limitations, are convertible into 11,983,000 shares of Common Stock</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the Company filed the Certificate of Designations of Preferences, Rights and Limitations of the Series C Convertible Preferred Stock of the Company designating and authorizing the issuance of up to 13,000 shares of Series C Convertible Preferred Stock. Subsequently, on November 4, 2025, the Company filed a Certificate of Amendment to the Certificate of Designations to increase the number of authorized and designated shares of Series C Convertible Preferred Stock to 23,000 shares.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issued a total of 11,983 shares of the Company’s Series C Convertible Preferred Stock (convertible into 11,983,000 shares of Common Stock) with a fair value of $12 to two creditors in settlement of $4,429,000 of accounts payable and accrued expenses pursuant to the Conversion Agreements As a result of the issuance of the Series C Convertible preferred stock, the Company recognized a gain on extinguishment of liabilities of $4,417,000.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bookmarkStart w:id="10" w:name="s1_029"/>
      <w:bookmarkEnd w:id="10"/>
      <w:r>
        <w:rPr>
          <w:rFonts w:ascii="Times New Roman;Times;Serif" w:hAnsi="Times New Roman;Times;Serif"/>
          <w:b w:val="false"/>
          <w:i w:val="false"/>
          <w:caps w:val="false"/>
          <w:smallCaps w:val="false"/>
          <w:sz w:val="20"/>
          <w:u w:val="single"/>
        </w:rPr>
        <w:t>Universal Resale and Registration Provisions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Conversion Agreements described above as well as certain other transactions which occurred in 2025, the Company and counterparties who received common stock or derivative securities entered into the Resale Provisions pursuant to which such recipients agreed to certain lock-up provisions restricting and limiting their sale, transfer, pledge, or disposal of any shares of common stock held by or issuable to such recipients for a period ending 12 months following the date of a resale registration statement with respect to the common stock comprising or underlying such securities is declared effective by the SEC (such period, the Lock-Up Period). The Resale Provisions provide that up to 10% of each holder’s shares may be sold or transferred during the first 90 days following such effective date, and up to 25% of such holder’s shares may be sold or transferred in each subsequent 90 day period thereafter for the remainder of the Lock-Up Period; and that during each of the third and fourth ninety 90 day periods referred to above, each holder may sell or transfer up to an additional 10% of its shares, but only to the extent such amount represents shares that were eligible for sale or transfer in prior periods but were not sold or transferred by such holder. The Resale Provisions also contains certain additional limitations and exceptions with respect to such lock-up provisions, including a volume limitation on the holders’ sales of shares pursuant to which the holders collectively may not sell more than 10% of the shares in a given trading day, and the cessation of the Lock-Up Period and termination of such lock-up provisions if certain events do not occur within a specified time and as more particularly set forth therein.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Resale Provisions the Company also agreed to provide the holders with registration rights pursuant to which, if the Company closes a securities offering resulting in gross proceeds of at least $5 million, the holders shall have “piggy back” registration rights for the inclusion for resale of their shares to be registered on any subsequent registration statement filed with the SEC in connection with such offering. The Company also agreed to file a registration statement for the holders’ sales of shares within 180 days after the Company makes the requisite filings under the Securities Exchange Act of 1934, and prepares the requisite audited and unaudited financial statements, as applicable, to become eligible to file a resale registration statement, and to cause such registration statement to be declared effective within 90 days thereafter. The Company also agreed to provide the holders with certain indemnification rights in connection with such registration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of which this Prospectus is a part is being filed in connection with these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offers and sales of the securities described above were exempt from registration pursuant to Section 4(a)(2) of the Securities Act of 1933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For additional information on the securities described above,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1_008"/>
      <w:bookmarkEnd w:id="11"/>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our Common Stock being offered for sale by the Selling Stockholders. Upon the exercise of the Warrants, assuming all such exercises are cash exercises, we will receive the exercise price of the Warrants. We will bear all fees and expenses incident to our obligation to register the shares of Common Stock. Brokerage fees, commissions and similar expenses, if any, attributable to the sale of shares offered hereby will be borne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the Warrants will be exercised for cash. We intend to use such proceeds, if any, for general corporate and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1_009"/>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shares of Common Stock to which the registration statement of which this Prospectus is a part relates, and any of their pledgees, assignees and successors-in-interest may, from time to time, sell any or all of shares of Common Stock covered hereby on the principal trading market of the Common Stock or any other stock exchange, market or trading facility on which the securities are traded or in private transactions. These sales may be at fixed or negotiated prices. A Selling Stockholder may use any one or more of the following methods when selling shares of Common Stock:</w:t>
      </w:r>
    </w:p>
    <w:p>
      <w:pPr>
        <w:pStyle w:val="TextBody"/>
        <w:bidi w:val="0"/>
        <w:spacing w:before="0" w:after="0"/>
        <w:ind w:left="72" w:right="72"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settlement of short sales;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in transactions through broker-dealers that agree with the Selling Stockholders to sell a specified number of such securities at a stipulated price per security;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 combination of any such methods of sale;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any other method permitted pursuant to applicable law.</w:t>
            </w:r>
          </w:p>
        </w:tc>
      </w:tr>
    </w:tbl>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See “</w:t>
      </w:r>
      <w:hyperlink w:anchor="s1_029">
        <w:r>
          <w:rPr>
            <w:rStyle w:val="InternetLink"/>
            <w:rFonts w:ascii="Times New Roman;Times;Serif" w:hAnsi="Times New Roman;Times;Serif"/>
            <w:b w:val="false"/>
            <w:i w:val="false"/>
            <w:caps w:val="false"/>
            <w:smallCaps w:val="false"/>
            <w:sz w:val="20"/>
          </w:rPr>
          <w:t>The Private Placements – Universal Resale and Registration Provisions</w:t>
        </w:r>
      </w:hyperlink>
      <w:r>
        <w:rPr>
          <w:rFonts w:ascii="Times New Roman;Times;Serif" w:hAnsi="Times New Roman;Times;Serif"/>
          <w:b w:val="false"/>
          <w:i w:val="false"/>
          <w:caps w:val="false"/>
          <w:smallCaps w:val="false"/>
          <w:sz w:val="20"/>
        </w:rPr>
        <w:t>” at page 41.</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if available, rather than under this prospectus.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72" w:right="72"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all states but New York,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1_010"/>
      <w:bookmarkEnd w:id="13"/>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retain any earnings for the foreseeable future for our operations. We have never paid any dividends on our Common Stock and do not anticipate paying any cash dividends in the foreseeable future. Our Board of Directors will determine our future dividend policy on the basis of many factors, including results of operations, capital requirements, general business conditions, and whether dividends are payable by us under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terms of the Series D we issued in April 2026 precludes us from paying dividends to holders of our Common Stock or other securities without the prior consent of the holders of a majority the Series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1_011"/>
      <w:bookmarkEnd w:id="14"/>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is a leading pure-play hardware-agnostic quantum software company. Following a strategic realignment in 2025, the Company offers subscription-based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software platform for quantum computing applications is based on our patented technology and supports a wide range of use cases in cryptography, pharmaceuticals, manufacturing, materials discovery and defense. To the Company’s knowledge, it is the only organization to have participated across all technical areas of the Defense Advanced Research Projects Agency’s (“DARPA”)’s Quantum Benchmarking program and it has worked with Fortune 500 enterprises and government agencies to unlock the potential of quantum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scaling operations, the Company has also entered into advisory agreements with third parties and agreed to compensate such parties in the form of equity and/or cash compensation. Additionally, following the restructuring and financings completed in 2025 and 2026, the Company resumed active operations and rehired key personnel.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Throughout the following discussion, amounts are provided in thousands, except for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historically was generated primarily from sales of subscriptions to our software platform and related services. Subscriptions to our software platform are offered as stand-ready access to our cloud environment on an annual or multi-year basis. We may also offer consulting services in the form of stand-ready scientific and software engineering services, which are typically only offered in conjunction with our software platform. We evaluate our contracts at inception to determine if the terms represent a single, combined performance obligation or multiple performance obligations. We generated no revenue in each of the three months ended March 31, 2026 and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includes expenses related to supporting product offerings. Our primary cost of revenue is personnel costs, including salaries and other personnel-related expense. Cost of revenue also includes costs relating to our information technology and systems, including depreciation, network costs, data center maintenance, database management and data processing costs. We allocate these overhead expenses based on headcount and thus are reflected in cost of revenue and each operating expense category.</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personnel-related costs, including salaries and wages, benefits, commissions, bonuses and stock-based compensation expense for our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 Sales and marketing expenses are primarily driven by investments in the growth of our business. We expect sales and marketing expenses, expressed as a percentage of revenue, to vary from period to period for the foreseeable future.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including salaries and wages, benefits, bonuses, and stock-based compensation expense for our scientists, engineers and other employees engaged in the research and development of our products. In addition, research and development expenses include third party software subscription costs, facilities and other supporting overhead costs, including depreciation and amortization. Research and development costs are expensed as incurred.</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including salaries and wages, bonuses, benefits, and stock-based compensation expense for our finance, legal, information technology, human resources, and other administrative personnel. General and administrative expenses also include facilities and supporting overhead costs, including depreciation and amortization, and external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Net</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consists primarily of fair value adjustments related to our Senior Secured Notes and derivative contract in connection with our Forward Purchase Agreement, interest income, interest expense and foreign exchange gains and losses from our international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2026 compared to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March 31, 2026 and 2025:</w:t>
      </w:r>
    </w:p>
    <w:tbl>
      <w:tblPr>
        <w:tblW w:w="7831" w:type="dxa"/>
        <w:jc w:val="left"/>
        <w:tblInd w:w="0" w:type="dxa"/>
        <w:tblLayout w:type="fixed"/>
        <w:tblCellMar>
          <w:top w:w="0" w:type="dxa"/>
          <w:left w:w="0" w:type="dxa"/>
          <w:bottom w:w="0" w:type="dxa"/>
          <w:right w:w="0" w:type="dxa"/>
        </w:tblCellMar>
      </w:tblPr>
      <w:tblGrid>
        <w:gridCol w:w="2705"/>
        <w:gridCol w:w="60"/>
        <w:gridCol w:w="304"/>
        <w:gridCol w:w="1382"/>
        <w:gridCol w:w="206"/>
        <w:gridCol w:w="130"/>
        <w:gridCol w:w="304"/>
        <w:gridCol w:w="990"/>
        <w:gridCol w:w="95"/>
        <w:gridCol w:w="60"/>
        <w:gridCol w:w="191"/>
        <w:gridCol w:w="624"/>
        <w:gridCol w:w="95"/>
        <w:gridCol w:w="60"/>
        <w:gridCol w:w="60"/>
        <w:gridCol w:w="455"/>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6"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82" w:type="dxa"/>
            <w:tcBorders/>
            <w:shd w:fill="CCEEFF" w:val="clear"/>
            <w:vAlign w:val="center"/>
          </w:tcPr>
          <w:p>
            <w:pPr>
              <w:pStyle w:val="TableContents"/>
              <w:bidi w:val="0"/>
              <w:spacing w:before="0" w:after="283"/>
              <w:jc w:val="right"/>
              <w:rPr/>
            </w:pPr>
            <w:r>
              <w:rPr/>
              <w:t>–</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173</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235</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CCEEFF" w:val="clear"/>
            <w:tcMar>
              <w:bottom w:w="28" w:type="dxa"/>
            </w:tcMar>
            <w:vAlign w:val="center"/>
          </w:tcPr>
          <w:p>
            <w:pPr>
              <w:pStyle w:val="TableContents"/>
              <w:bidi w:val="0"/>
              <w:spacing w:before="0" w:after="283"/>
              <w:jc w:val="right"/>
              <w:rPr/>
            </w:pPr>
            <w:r>
              <w:rPr/>
              <w:t>789</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FFFFFF" w:val="clear"/>
            <w:tcMar>
              <w:bottom w:w="28" w:type="dxa"/>
            </w:tcMar>
            <w:vAlign w:val="center"/>
          </w:tcPr>
          <w:p>
            <w:pPr>
              <w:pStyle w:val="TableContents"/>
              <w:bidi w:val="0"/>
              <w:spacing w:before="0" w:after="283"/>
              <w:jc w:val="right"/>
              <w:rPr/>
            </w:pPr>
            <w:r>
              <w:rPr/>
              <w:t>1,197</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pPr>
            <w:r>
              <w:rPr/>
              <w:t>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216</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CCEEFF" w:val="clear"/>
            <w:tcMar>
              <w:bottom w:w="28" w:type="dxa"/>
            </w:tcMar>
            <w:vAlign w:val="center"/>
          </w:tcPr>
          <w:p>
            <w:pPr>
              <w:pStyle w:val="TableContents"/>
              <w:bidi w:val="0"/>
              <w:spacing w:before="0" w:after="283"/>
              <w:jc w:val="right"/>
              <w:rPr/>
            </w:pPr>
            <w:r>
              <w:rPr/>
              <w:t>(1,197</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(517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jc w:val="left"/>
              <w:rPr/>
            </w:pPr>
            <w:r>
              <w:rPr/>
              <w:t>)</w:t>
            </w:r>
          </w:p>
        </w:tc>
      </w:tr>
      <w:tr>
        <w:trPr/>
        <w:tc>
          <w:tcPr>
            <w:tcW w:w="270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(132</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CCEEFF" w:val="clear"/>
            <w:tcMar>
              <w:bottom w:w="28" w:type="dxa"/>
            </w:tcMar>
            <w:vAlign w:val="center"/>
          </w:tcPr>
          <w:p>
            <w:pPr>
              <w:pStyle w:val="TableContents"/>
              <w:bidi w:val="0"/>
              <w:spacing w:before="0" w:after="283"/>
              <w:jc w:val="right"/>
              <w:rPr/>
            </w:pPr>
            <w:r>
              <w:rPr/>
              <w:t>(113</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2" w:type="dxa"/>
            <w:tcBorders>
              <w:bottom w:val="double" w:sz="6" w:space="0" w:color="000000"/>
            </w:tcBorders>
            <w:shd w:fill="FFFFFF" w:val="clear"/>
            <w:tcMar>
              <w:bottom w:w="28" w:type="dxa"/>
            </w:tcMar>
            <w:vAlign w:val="center"/>
          </w:tcPr>
          <w:p>
            <w:pPr>
              <w:pStyle w:val="TableContents"/>
              <w:bidi w:val="0"/>
              <w:spacing w:before="0" w:after="283"/>
              <w:jc w:val="right"/>
              <w:rPr/>
            </w:pPr>
            <w:r>
              <w:rPr/>
              <w:t>(1,310</w:t>
            </w:r>
          </w:p>
        </w:tc>
        <w:tc>
          <w:tcPr>
            <w:tcW w:w="206"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jc w:val="right"/>
              <w:rPr/>
            </w:pPr>
            <w:r>
              <w:rPr/>
              <w:t>(770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4" w:type="dxa"/>
            <w:tcBorders>
              <w:bottom w:val="double" w:sz="6" w:space="0" w:color="000000"/>
            </w:tcBorders>
            <w:shd w:fill="FFFFFF" w:val="clear"/>
            <w:tcMar>
              <w:bottom w:w="28" w:type="dxa"/>
            </w:tcM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Sales and Marketing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$173 thousand for the three months ended March 31, 2026, as compared to $0 for the three months ended March 31, 2025. The increase reflects an increase in employee compensation costs, marketing expenses, and stock-based compensation expense.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Expenses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$235 thousand for the three months ended March 31, 2026, as compared to $0 for the three months ended March 31, 2025. The increase reflects an increase in employee compensation costs, advisor fees, and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General and Administrative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$789 thousand for the three months ended March 31, 2026, compared to $680 thousand for the three months ended March 31, 2025. The increase of $109 thousand reflects an increase in stock-based compensation expenses. Current-quarter expenses mainly consisted of insurance, software costs, salaries and benefits, and legal and professional fees, including $126 thousand of legal expenses related to our intellectual property.</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Expense, Net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$113 thousand for the three months ended March 31, 2026, compared to $90 thousand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Provision for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provision for income taxes during each of the three months ended March 31, 2026 and March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fiscal year ended December 31, 2025, compared to the fiscal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Years Ended December 31, 2025 and 2024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2025 and 2024:</w:t>
      </w:r>
    </w:p>
    <w:p>
      <w:pPr>
        <w:pStyle w:val="TextBody"/>
        <w:bidi w:val="0"/>
        <w:spacing w:before="0" w:after="0"/>
        <w:ind w:left="0" w:right="0" w:firstLine="5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90"/>
        <w:gridCol w:w="60"/>
        <w:gridCol w:w="188"/>
        <w:gridCol w:w="918"/>
        <w:gridCol w:w="128"/>
        <w:gridCol w:w="80"/>
        <w:gridCol w:w="188"/>
        <w:gridCol w:w="1019"/>
        <w:gridCol w:w="95"/>
        <w:gridCol w:w="60"/>
        <w:gridCol w:w="140"/>
        <w:gridCol w:w="755"/>
        <w:gridCol w:w="95"/>
        <w:gridCol w:w="60"/>
        <w:gridCol w:w="60"/>
        <w:gridCol w:w="455"/>
        <w:gridCol w:w="114"/>
      </w:tblGrid>
      <w:tr>
        <w:trPr/>
        <w:tc>
          <w:tcPr>
            <w:tcW w:w="5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4"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283"/>
              <w:jc w:val="left"/>
              <w:rPr/>
            </w:pPr>
            <w:r>
              <w:rPr/>
              <w:t>Revenue ($0 and $1,300 from related parties, respectively)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3,876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3,241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790" w:type="dxa"/>
            <w:tcBorders/>
            <w:shd w:fill="CCEEFF" w:val="clear"/>
            <w:vAlign w:val="center"/>
          </w:tcPr>
          <w:p>
            <w:pPr>
              <w:pStyle w:val="TableContents"/>
              <w:bidi w:val="0"/>
              <w:spacing w:before="0" w:after="283"/>
              <w:jc w:val="left"/>
              <w:rPr/>
            </w:pPr>
            <w:r>
              <w:rPr/>
              <w:t>Sales and marketing ($0 and $2,873 from related parties, respectively)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267</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7,120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(96</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252</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(94</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2,907</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12,141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(76</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3,426</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23,681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(20,255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(267</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(3,426</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(23,046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167</w:t>
            </w:r>
          </w:p>
        </w:tc>
        <w:tc>
          <w:tcPr>
            <w:tcW w:w="114" w:type="dxa"/>
            <w:tcBorders/>
            <w:shd w:fill="CCEEFF" w:val="clear"/>
            <w:vAlign w:val="center"/>
          </w:tcPr>
          <w:p>
            <w:pPr>
              <w:pStyle w:val="TableContents"/>
              <w:bidi w:val="0"/>
              <w:spacing w:before="0" w:after="283"/>
              <w:jc w:val="left"/>
              <w:rPr/>
            </w:pPr>
            <w:r>
              <w:rPr/>
              <w:t> </w:t>
            </w:r>
          </w:p>
        </w:tc>
      </w:tr>
      <w:tr>
        <w:trPr/>
        <w:tc>
          <w:tcPr>
            <w:tcW w:w="579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(513</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(47</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790" w:type="dxa"/>
            <w:tcBorders/>
            <w:shd w:fill="FFFFFF" w:val="clear"/>
            <w:vAlign w:val="center"/>
          </w:tcPr>
          <w:p>
            <w:pPr>
              <w:pStyle w:val="TableContents"/>
              <w:bidi w:val="0"/>
              <w:spacing w:before="0" w:after="283"/>
              <w:jc w:val="left"/>
              <w:rPr/>
            </w:pPr>
            <w:r>
              <w:rPr/>
              <w:t>Loss on issuance of forward purchase agreement</w:t>
              <w:br/>
              <w:t>derivative liability</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790" w:type="dxa"/>
            <w:tcBorders/>
            <w:shd w:fill="CCEEFF" w:val="clear"/>
            <w:vAlign w:val="center"/>
          </w:tcPr>
          <w:p>
            <w:pPr>
              <w:pStyle w:val="TableContents"/>
              <w:bidi w:val="0"/>
              <w:spacing w:before="0" w:after="283"/>
              <w:jc w:val="left"/>
              <w:rPr/>
            </w:pPr>
            <w:r>
              <w:rPr/>
              <w:t>Change in fair value of forward purchase agreement derivative liability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790" w:type="dxa"/>
            <w:tcBorders/>
            <w:shd w:fill="FFFFFF" w:val="clear"/>
            <w:vAlign w:val="center"/>
          </w:tcPr>
          <w:p>
            <w:pPr>
              <w:pStyle w:val="TableContents"/>
              <w:bidi w:val="0"/>
              <w:spacing w:before="0" w:after="283"/>
              <w:jc w:val="left"/>
              <w:rPr/>
            </w:pPr>
            <w:r>
              <w:rPr/>
              <w:t>Change in fair value and loss on issuance of notes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(9,776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790" w:type="dxa"/>
            <w:tcBorders/>
            <w:shd w:fill="CCEEFF" w:val="clear"/>
            <w:vAlign w:val="center"/>
          </w:tcPr>
          <w:p>
            <w:pPr>
              <w:pStyle w:val="TableContents"/>
              <w:bidi w:val="0"/>
              <w:spacing w:before="0" w:after="283"/>
              <w:jc w:val="left"/>
              <w:rPr/>
            </w:pPr>
            <w:r>
              <w:rPr/>
              <w:t>Loss on extinguishment of senior secured notes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(134</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790" w:type="dxa"/>
            <w:tcBorders/>
            <w:shd w:fill="FFFF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2,357</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79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9,117</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790" w:type="dxa"/>
            <w:tcBorders/>
            <w:shd w:fill="FFFFFF" w:val="clear"/>
            <w:vAlign w:val="center"/>
          </w:tcPr>
          <w:p>
            <w:pPr>
              <w:pStyle w:val="TableContents"/>
              <w:bidi w:val="0"/>
              <w:spacing w:before="0" w:after="283"/>
              <w:jc w:val="left"/>
              <w:rPr/>
            </w:pPr>
            <w:r>
              <w:rPr/>
              <w:t>Gain on forbearance agreement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1,887</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79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(1,903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12,762</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(15,077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(185</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Net income (loss) before income taxes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9,336</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(38,123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(124</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jc w:val="right"/>
              <w:rPr/>
            </w:pPr>
            <w:r>
              <w:rPr/>
              <w:t>9,336</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(38,143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47,478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(124</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$0 for the year ended December 31, 2025, as compared to $3.9 million for the year ended December 31, 2024 The decrease reflects the Operational Cessation.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 of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$0 for the year ended December 31, 2025, as compared to $3.2 million for the year ended December 31, 2024. The decrease reflects the Operational Cessation.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Sales and Marketing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$0.3 million for the year ended December 31, 2025, as compared to $7.1 million for the year ended December 31, 2024. The decrease reflects the Operational Cessation.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Expenses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$0.3 million for the year ended December 31, 2025, as compared to $4.4 million for the year ended December 31, 2024. The decrease reflects the Operational Cessation.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General and Administrative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$2.9 million for the year ended December 31, 2025, compared to $12.1 million for the year ended December 31, 2024. The decrease of $9.2 million reflects the Operational Cessation. Expenses for the current period mainly consisted of insurance, software costs, salaries and benefits for remaining personnel, and legal and professional fees, including $0.1 million of legal expenses related to our 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we sustained an operating loss of $3.4 million compared to $23.0 million in the prior year. The difference was due to the Operation Cessation.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Income (Expense),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$12.7 million for the year ended December 31, 2025, compared to other expense, net of $15.1 million for the year ended December 31, 2024. The $27.8 million favorable variance was primarily attributable to the nonrecurrence in the current period of the following prior period charges which were non-cash: (i) $9.8 million loss related to the issuance of Senior Secured Notes, (ii) a $4.9 million loss on issuance of Forward Purchase Agreement, and (iii) $1.8 million in transaction costs incurred related to the Lincoln Park Purchase Agreement, partially offset by a $2.4 million gain resulting from the change in fair value of the Forward Purchase Agreement. Additionally, interest expense decreased by $0.5 million, primarily due to the conversion of a majority of the Senior Notes to equity upon closing of the merger in the first quarter of 2024.</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year ended December 31, 2025 includes a $2.4 million gain on extinguishment of the Forward Purchase Agreement liability, a $9.1 million gain on extinguishment of liabilities, a $1.9 million gain on forbearance agreement, partially offset by $0.5 million of interest expense, and a $0.1 million loss on extinguishment of Senior Secured Note.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Provision for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provision for income taxes during the year ended December 31, 2025. The provision for income taxes during the year ended December 31, 2024 was not material and was related to our foreign operations.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with proceeds from sales of Convertible Preferred Stock and Common Stock and the issuance of Convertible Notes. For the three months ended March 31, 2026, we recorded a net loss of $1.3 million, used cash in operations of $1 million and had a stockholders’ deficit of $9.4 million as of that date. As of March 31, 2026, we had a cash balance of $642. Cash used in operations was primarily from the Company’s operating losses, working capital, and investment in strategic growth initiatives. We have incurred significant losses and negative cash flows from operations since inception and expects to continue to incur losses and negative cash flows for the foreseeable future as we expand our penetration of the quantum computing application development market.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business combination, the Company had substantial near-term liquidity needs. As disclosed in the Company's Quarterly Report on Form 10-Q for the quarter ended March 31, 2024, the Company had total liabilities of $30.9 million, including $23.1 million of current liabilities, compared to total assets of $9.9 million, including $7.3 million of cash. As a result, the Company required additional financing to satisfy its obligations and continue operations. The Company's suspension of operations resulted primarily from its overall liquidity constraints and inability to obtain sufficient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we had approximately $13.2 million in cash. We expect our existing cash will be sufficient to fund our current operating plan for at least twelve months from the date of the issuance of our most recent financial statements and our audit opinion contains a going concern 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Material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D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 April 2026, the Company raised a total of $15,000 from the sale of Series D and Warrants. 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at page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 2025, we raised $1,500 through the sale of Series A Convertible Preferred Stock. 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at page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caps w:val="false"/>
          <w:smallCaps w:val="false"/>
        </w:rPr>
        <w:t> </w:t>
      </w:r>
      <w:r>
        <w:rPr>
          <w:rFonts w:ascii="Times New Roman;Times;Serif" w:hAnsi="Times New Roman;Times;Serif"/>
          <w:b w:val="false"/>
          <w:i w:val="false"/>
          <w:caps w:val="false"/>
          <w:smallCaps w:val="false"/>
          <w:sz w:val="20"/>
        </w:rPr>
        <w:t>In June 2025, we entered into a securities purchase agreement with accredited investors pursuant to which we sold and issued secured convertible Notes and Warrants (the “2025 Warrants”). 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at page 40. The convertible Notes bear simple interest at a rate of 10.00% per annum and mature on June 12, 2026, unless earlier converted or repaid in accordance with its terms. Interest accrues daily based on a 360-day year and will not be paid in cash prior to maturity unless the Notes are repaid before conversion. The maturity date of these Notes was extended to June 12, 2027.</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Secured Notes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Secured Notes bear interest at the compound rate of 15% per annum and are convertible at the option of each noteholder in connection with the Merger at a conversion price of (i) $4.50 per share at the closing of the Merger or (ii) $8.50 per share at any time after the closing of the Merger. The outstanding principal amount of the Senior Secured Notes and all accrued but unpaid interest will be due and payable at the maturity date, December 15, 2026, unless otherwise converted. Upon the closing of the Merger, a portion of the aggregate outstanding Senior Secured Notes with an aggregate principal amount of $14,200 and associated accrued interest of $0.5 million were converted into shares of our Common Stock. While any Senior Secured Notes are outstanding, we cannot incur additional indebtedness for borrowed funds, except additional Senior Secured Notes, substantially similar notes or other debt instruments that are pari passu with or subordinate to the 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Forbearance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$45,000 and $55,000, respectively, in aggregate proceeds. If the specified financing thresholds are not achieved, the corresponding contingent payments will not become due, and the related obligations will be permanently extinguished.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Forbearance Agreement, the creditors have each agreed to temporarily forbear from enforcing collection of the $1,887,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accounted for the $1,887 Overdue Amount that is now contingently payable as an extinguishment of debt due to management’s assessment that it is not probable that the Company reach the equity raising threshold that would require repayment of these amounts.</w:t>
        <w:b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material long-term obligations; its material obligations consist of the following short-term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Accounts payable totaled approximately $4.1 million as of March 31, 2026. Approximately $1.9 million is subject to a forbearance agreement under which creditors have agreed to temporarily forbear from collection, and such obligations may be permanently extinguished if specified financing thresholds are not achieved.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Accrued expenses and other current liabilities totaled approximately $1.5M as of March 31, 2026. See Note 3 to the Financial Statements for a detailed breakdown of these balances.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Other liabilities totaled approximately $0.4 million as of March 31, 2026, consisting entirely of deferred revenue.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Senior secured notes totaled approximately $1.3 million as of March 31, 2026. The maturity date for these notes is December 15, 2026. See Note 4 to the Financial Statements for further detail.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Convertible promissory notes totaled approximately $3.2 million as of March 31, 2026. The maturity date on these notes has been extended to June 12, 2027. See Note 4 to the Financial Statements for further detail.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the Company has contingent obligations of approximately $1.9 million, which become partially payable upon the completion of capital-raising transactions generating aggregate proceeds of at least $45.0 million, and fully payable upon the completion of capital-raising transactions generating aggregate proceeds of at least $55.0 million. If the specified financing thresholds are not achieved, the corresponding contingent payments will not become due, and the related obligations will be permanently extinguished.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Quarters Ended March 31, 2026 and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each of the three months ended March 31, 2026 and 2025:</w:t>
      </w:r>
    </w:p>
    <w:tbl>
      <w:tblPr>
        <w:tblW w:w="7316" w:type="dxa"/>
        <w:jc w:val="left"/>
        <w:tblInd w:w="0" w:type="dxa"/>
        <w:tblLayout w:type="fixed"/>
        <w:tblCellMar>
          <w:top w:w="0" w:type="dxa"/>
          <w:left w:w="0" w:type="dxa"/>
          <w:bottom w:w="0" w:type="dxa"/>
          <w:right w:w="0" w:type="dxa"/>
        </w:tblCellMar>
      </w:tblPr>
      <w:tblGrid>
        <w:gridCol w:w="3830"/>
        <w:gridCol w:w="60"/>
        <w:gridCol w:w="330"/>
        <w:gridCol w:w="1500"/>
        <w:gridCol w:w="224"/>
        <w:gridCol w:w="141"/>
        <w:gridCol w:w="330"/>
        <w:gridCol w:w="791"/>
        <w:gridCol w:w="110"/>
      </w:tblGrid>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4"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p>
        </w:tc>
        <w:tc>
          <w:tcPr>
            <w:tcW w:w="1500" w:type="dxa"/>
            <w:tcBorders/>
            <w:shd w:fill="CCEEFF" w:val="clear"/>
            <w:vAlign w:val="center"/>
          </w:tcPr>
          <w:p>
            <w:pPr>
              <w:pStyle w:val="TableContents"/>
              <w:bidi w:val="0"/>
              <w:spacing w:before="0" w:after="283"/>
              <w:jc w:val="right"/>
              <w:rPr/>
            </w:pPr>
            <w:r>
              <w:rPr/>
              <w:t>(999</w:t>
            </w:r>
          </w:p>
        </w:tc>
        <w:tc>
          <w:tcPr>
            <w:tcW w:w="224"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224" w:type="dxa"/>
            <w:tcBorders/>
            <w:shd w:fill="FFFFFF" w:val="clear"/>
            <w:vAlign w:val="center"/>
          </w:tcPr>
          <w:p>
            <w:pPr>
              <w:pStyle w:val="TableContents"/>
              <w:bidi w:val="0"/>
              <w:spacing w:before="0" w:after="283"/>
              <w:jc w:val="left"/>
              <w:rPr/>
            </w:pPr>
            <w:r>
              <w:rPr/>
              <w:t>)</w:t>
            </w:r>
          </w:p>
        </w:tc>
        <w:tc>
          <w:tcPr>
            <w:tcW w:w="141"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(1,017</w:t>
            </w:r>
          </w:p>
        </w:tc>
        <w:tc>
          <w:tcPr>
            <w:tcW w:w="224"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Activities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$1.0 million for the three months ended March 31, 2026. Operating cash flows reflected a net loss of $1.3 million, partially offset by $370 thousand in non-cash charges. Non-cash charges included $132 thousand in non-cash interest expense, and $238 thousand in stock-based compensation. Changes in working capital was driven by a $51 thousand decrease in prepaid expenses and other current and non-current assets, a $106 thousand increase in accounts payable, and a decrease of $217 thousand in accrued expenses and other current liabilities and other non-current liabilities.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$59 thousand for the three months ended March 31, 2025. Operating cash flows reflected a net loss of $0.8 million, partially offset by $569 thousand in non-cash charges and a $142 thousand net change in working capital. Non-cash charges included $525 thousand in non-cash interest expense, and $44 thousand in stock-based compensation. Changes in working capital was driven by a $48 thousand increase in accounts payable and a $94 thousand decrease in prepaid expenses and other current and non-current assets.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cash flows from investing activities during each of the three months ended March 31, 2026 and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Financing Activities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cash flows from financing activities during each of the three months ended March 31, 2026 and March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Fiscal Years Ended December 31, 2025 and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the years ended December 31, 2025 and 2024:</w:t>
      </w:r>
    </w:p>
    <w:p>
      <w:pPr>
        <w:pStyle w:val="TextBody"/>
        <w:bidi w:val="0"/>
        <w:spacing w:before="0" w:after="0"/>
        <w:ind w:left="0" w:right="0" w:firstLine="554"/>
        <w:jc w:val="both"/>
        <w:rPr>
          <w:caps w:val="false"/>
          <w:smallCaps w:val="false"/>
        </w:rPr>
      </w:pPr>
      <w:r>
        <w:rPr>
          <w:caps w:val="false"/>
          <w:smallCaps w:val="false"/>
        </w:rPr>
        <w:t> </w:t>
      </w:r>
    </w:p>
    <w:tbl>
      <w:tblPr>
        <w:tblW w:w="10182" w:type="dxa"/>
        <w:jc w:val="left"/>
        <w:tblInd w:w="0" w:type="dxa"/>
        <w:tblLayout w:type="fixed"/>
        <w:tblCellMar>
          <w:top w:w="0" w:type="dxa"/>
          <w:left w:w="0" w:type="dxa"/>
          <w:bottom w:w="0" w:type="dxa"/>
          <w:right w:w="0" w:type="dxa"/>
        </w:tblCellMar>
      </w:tblPr>
      <w:tblGrid>
        <w:gridCol w:w="7295"/>
        <w:gridCol w:w="60"/>
        <w:gridCol w:w="208"/>
        <w:gridCol w:w="946"/>
        <w:gridCol w:w="141"/>
        <w:gridCol w:w="89"/>
        <w:gridCol w:w="208"/>
        <w:gridCol w:w="1125"/>
        <w:gridCol w:w="110"/>
      </w:tblGrid>
      <w:tr>
        <w:trPr/>
        <w:tc>
          <w:tcPr>
            <w:tcW w:w="7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(1,665</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(18,108</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3,018</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15,095</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both"/>
              <w:rPr/>
            </w:pPr>
            <w:r>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(53</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both"/>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1,300</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(3,110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Activities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$1.7 million for the year ended December 31, 2025. Operating cash flows reflected net income of $9.4 million and a $1.4 million net increase in working capital, partially offset by $12.4 million in net non-cash charges. Changes in working capital were primarily driven by a $1.0 million increase in accrued expenses and other current liabilities, and a $0.2 million increase in accounts payable. Non-cash charges included $9.1 million gain on extinguishment of liabilities, a $2.4 million gain on extinguishment of Forward Purchase Agreement settlement liability, and a $1.9 million gain on forbearance agreement, partially offset by $0.5 million in non-cash interest expense, $0.3 million in stock-based compensation and $0.1 million loss on extinguishment of Senior Secured Note. As previously disclosed, we ceased operations in October 2024, resulting in limited activities during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$18.1 million for the year ended December 31, 2024. The factors affecting our operating cash flows during this period were our net loss of $38.1 million, partially offset by a net change in our operating assets and liabilities of $3.8 million and non-cash charges of $16.3 million. The non-cash charges primarily consisted of $9.8 million in the loss on issuance of Senior Secured Notes, $4.9 million in the loss on the forward purchase contract, $2.0 million in equity line of credit commitment expense, $0.9 million in non-cash interest expense, $0.6 million in stock-based compensation expense, $0.2 million in non-cash vendor payments, $0.2 million in non-cash lease expense, $0.1 million in depreciation and amortization expense and $0.1 million loss on fixed assets disposal, partially offset by $2.5 million in change in fair value of forward purchase contract. The change in operating assets and liabilities was driven by a $7.1 million increase in accounts payable, $2.4 million increase in Forward Purchase Agreement Settlement obligation and $0.1 million increase in deferred revenue, partially offset by a $4.3 million decrease in accrued expenses and other current liabilities and other non-current liabilities, a $0.7 million decrease in deferred legal fees, a $0.5 million increase in prepaid expenses and other current and non-current assets, a $0.3 million decrease in operating lease liabilities and a $0.1 million increase in accounts receivable. The increase in accounts payable was primarily due to higher transaction costs and the delayed vendor and sponsorship payments following the Operational Cessation in the fourth quarter of 2024. The Forward Purchase Agreement Settlement obligation was related to the acceleration of the Valuation Date, requiring recognition of $2.4 million liability in the fourth quarter of 2024. The increase in deferred revenue is due to the timing of billings related to customer contracts and revenue recognition under customer contracts. The decrease in accrued expenses and other current liabilities and other non-current liabilities was primarily reflects payments of legal and audit fees. The decrease in deferred legal fees resulted from payments of fees. The increase in prepaid expenses and other current and non-current assets was primarily due to the timing of vendor invoicing and payments for sponsorship fees. The decrease in operating lease liabilities resulted primarily from lease payments. The increase in accounts receivable is due to the timing of billings and collections from customer contracts.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Activities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had no investing activities.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net cash used in investing activities was $34,000, primarily consisting of purchases of property and equipment. The purchases of equipment during these periods were primarily related to computer equipment purchases.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Financing Activities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$3.0 million for the year ended December 31, 2025. This amount primarily reflects $2.9 million in net proceeds received from the issuance of Convertible Promissory Notes, $1.4 million in net proceeds from the sale of Series-A Preferred Stock, partially offset by the repayment of $1.3 million of Senior Secured Notes.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net cash provided by financing activities was $15.1 million, which consisted of $12.6 million in proceeds from the closing of the Merger, $6.0 million in proceeds received from the issuance of Senior Secured Notes, $8.6 million in proceeds from issuances of Common Stock under the equity line of credit, $2.5 million in proceeds from the partial early termination of the Forward Purchase Agreement and $0.1 million in proceeds from exercises of stock options, partially offset by the payment of $0.1 million debt discount, payment of $0.6 million of notes payable to related parties, payment of $2.9 million of deferred offering costs and the prepayment of $11.0 million under the Forward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Off-Balance Sheet Financing Arrangements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during the periods presented. Zapata and Legacy Zapata have not entered into any off-balance sheet financing agreements, established any special purpose entities, guaranteed any debt or commitments of other entities, or purchased any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Collaborative Research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the Company entered into a collaborative research agreement with a third party, pursuant to which the Company and the third party partnered to develop a quantum generative AI application and a hybrid solver over a three-month term. The Company led the development of the application. The third party also contributed $1,000 to the project in the form of a Senior Secured Note, which it did not elect to convert into the Company's Common Stock upon the Closing of the Merger, and which was repaid in June 2025. The collaborative research agreement was effectively terminated in October 2024 in connection with the Company's Operational Cessation.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consolidated financial statements, which have been prepared in accordance with generally accepted accounting principles in the United States, or U.S. GAAP. The preparation of these consolidated financial statements requires us to make estimates and assumptions that affect the reported amounts of assets and liabilities, the disclosures of contingent assets and liabilities at the date of the consolidated financial statements and the reported amounts of revenues and expenses incurred during the reporting periods. We base our estimates on historical experience, known trends and events, and various other factors that we believe are reasonable under the circumstances, the results of which form the basis for making judgments about the carrying values of assets and liabilities recorded revenues and expenses that are not readily apparent from other sources. We evaluate our estimates and assumptions on an ongoing basis. Actual results may differ from these estimates.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described in more detail in Note 2 to our consolidated financial statements included elsewhere in this Prospectus, we believe that the following accounting policies are those most critical to the judgments and estimates used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Revenue from Contracts with Customers, we recognize revenue when we satisfy a performance obligation by transferring goods or services promised in a contract to a customer, in an amount that reflects the consideration that we expect to receive in exchange for those goods or services.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using the following steps: (1) identification of the contract, or contracts with a customer, (2) identification of performance obligations in the contract, (3) determination of the transaction price, (4) allocation of the transaction price to the performance obligations in the contract and (5) recognition of revenue when or as we satisfy the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we assess the goods and services promised in our contracts with customers and identify a performance obligation for each promise, implicit or explicit, to transfer to the customer a good or service (or bundle of goods or services) that is distinct.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earn revenue primarily from subscriptions to our software platform and related services. Subscriptions to our software platform are currently offered as stand-ready access to our cloud environment on an annual or multi-year basis. Our consulting services may result in either single or multiple performance obligations based on the contractual terms. We may also offer services in the form of stand-ready scientific and software engineering services, which are typically only offered in conjunction with the software platform. We evaluate our contracts at inception to determine if the promises represent a single, combined performance obligation, or multiple performance obligations. We allocate the transaction price to the performance obligations identified. Judgment is required to allocate the transaction price to each performance obligation. We utilize a stand-alone selling price methodology based on observable or estimated prices for each performance obligation. We consider market conditions, entity-specific factors, and information about the customer that is reasonably available to the entity when estimating stand-alone selling price for those performance obligations without an observable selling price. Our contracts do not contain rights of return, and any variable consideration as the result of service level agreements has been immaterial. We do not have other contractual terms that give rise to variable consideration.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subscriptions to our software platform to date have only been sold as access to the platform in our hosted environment and are therefore recognized over the contract term on a ratable basis, as the promise represents a stand-ready performance obligation.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consulting services is generally recognized over time. Our contracts typically contain fixed-fee transaction prices. We determine and record a provision for loss contracts at the contract level when the current estimate of total costs of the contract at completion exceeds the total consideration we expect to receive. We have not recorded any provision for loss contracts at December 31, 2024. For consulting services, we measure progress toward satisfaction of the performance obligation as the services are provided, and revenue is generally recognized based on the labor hours expended over time. Through this method, we recognize revenue based on the actual labor hours incurred to date compared to the current estimate of total labors hours to satisfy the performance obligation. This method requires periodic updates to the total estimated hours to complete the contract, and these updates may include subjective assessments and judgments. We had limited contracts, where based on our determination of the enforceability of payment terms, revenue was recognized at a point in time when payment became enforceable.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enter into arrangements to build license applications that can be used in conjunction with our software platform. To date, the license application built has been delivered as a perpetual license with associated post-contract support. We recognize the license at the time of deployment, and the related post-contract support over the contracted service period on a ratable basis, as it is provided as a stand-ready service.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services sold in the form of stand-ready scientific and software engineering services are recognized over the contract term on a ratable basis, as the obligation represent a stand-ready obligation.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payment terms vary by contract and do not contain significant financing components. Amounts collected in advance of revenue recognized are recorded as deferred revenue in the consolidated balance sheets.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Areas of Judgment and Estimation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with customers can include multiple promises to transfer goods and services to the customer, which may be provided over one or more specified phases in the contract. Determining whether promises and/or phases are distinct performance obligations that should be accounted for separately or not distinct within the context of the contract and, thus, accounted for together, requires significant judgment. When customer contracts include promises for multiple goods, services and/or phases, we determine whether the nature of our promise is to transfer (a) multiple promised goods, services and/or phases or (b) a combined item that comprises multiple promised services and/or phases.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consulting services performance obligations that are satisfied over time, we measure progress toward satisfaction of the performance obligation as the services are provided, and revenue is generally recognized based on the labor hours expended over time. Through this method, we recognize revenue based on the actual labor hours incurred to date compared to the current estimate of total labors hours to satisfy the performance obligation. We believe this method best reflects the transfer of control to the customer. This method requires periodic updates to the total estimated hours to complete the contract, and these updates may include subjective assessments and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and assumptions are used in the determination of the stand-alone selling price when multiple performance obligations are identified. We utilize a stand-alone selling price methodology based on observable or estimated prices for each performance obligation. We consider market conditions, entity-specific factors, and information about the customer that is reasonably available to the entity when estimating stand-alone selling price for those performance obligations without an observable selling price. Actual results could differ from those estimates and such differences could affect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Expense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stock-based options granted to employees, directors, and non-employees based on their fair value on the date of the grant using the Black-Scholes option-pricing model for stock options. Compensation expense for those awards is recognized over the requisite service period, which is generally the vesting period of the respective award. Compensation expense for awards to non-employees with service-based vesting conditions is recognized in the same manner as if we had paid cash in exchange for the goods or services, which is generally the over the vesting period of the award. We use the straight-line method to recognize the expense of awards with service-based vesting conditions. We account for forfeitures of stock-based awards as they occur. As of December 31, 2025, all awards have service-based vesting conditions.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the Fair Value of Legacy Zapata Common Stock</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of Legacy Zapata has been determined by management with consideration to a third-party valuation, which contemplates a broad range of factors, including the illiquid nature of the investment in Legacy Zapata’s Common Stock, our historical financial performance and financial position, our future prospects and opportunity for liquidity events, and recent sale and offer prices of common and Convertible Preferred Stock, if any, in private transactions negotiated at arm’s length.</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Senior Notes and Senior Secured Notes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2024, we have issued $5.6 million in Senior Notes, all of which were canceled and, inclusive of interest of $0.6 million, exchanged for Senior Secured Notes on December 22, 2023, and $10.0 million in Senior Secured Notes to certain lenders. We performed an analysis of all of the terms and features of the Senior Notes and Senior Secured Notes. We elected the Fair Value Option to account for the Senior Notes as we identified embedded derivatives, such as voluntary conversion upon qualified financing, automatic conversion upon a De-SPAC Transaction, defined as a business combination between Legacy Zapata and a special purpose acquisition company, with or without a private investment in public equity (“PIPE”), automatic conversion upon an initial public offering, repayment under a change of control event, and optional conversion under prepayment, all of which would require bifurcation and separate accounting. The Senior Notes were remeasured at fair value at each balance sheet date until they were converted to Senior Secured Notes in December 2023. Changes to the fair value of the Senior Notes was recorded in other (expense) income, net in the consolidated statements of operations and comprehensive loss. We had also elected the option of combining interest expense and the change in fair value as a single line item within the consolidated statements of operations and comprehensive loss. The analysis of the fair value of the Senior Notes contained inherent assumptions related to the market interest rate, the probability of alternate financing, change of control, initial public offering, De-SPAC Transaction with or without a PIPE, maturity extension, and payment at original maturity. Due to the use of significant unobservable inputs, the overall fair value measurement of the Senior Notes was classified as Level 3.</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Senior Secured Note issued to a third party for capital market advisory services in connection with the Merger as a stock-based award granted to non-employees and measure the award based on the merger date fair value using the binomial lattice model. The award is marked to its redemption value, including paid in-kind interest, if such value exceeds the fair value of the award at the merger date and each reporting period thereafter and we will recognize the additional fair value amount over redemption value as necessary.</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remaining Senior Secured Notes at amortized cost, as they were issued at a substantial premium and do not qualify for the Fair Value Option. Legacy Zapata concluded that the optional conversion feature was not required to be bifurcated or separately accounted for as a derivative. Costs related to the issuance of the remaining Senior Secured Notes were recorded as a debt discount as a reduction of the carrying value of the notes and amortized over the term of the notes and are recorded in other (expense) income, net within the consolidated statements of operations and comprehensive loss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a portion of the aggregate outstanding Senior Secured Notes converted into 3,257,876 shares of Common Stock (856,202 to related parties). Upon the conversion of the Senior Secured Notes, the principal balance of the debt of $14.2 million and associated accrued interest of $0.5 million were converted, resulting in an increase in Common Stock and additional paid-in capital of $14.7 million. Certain holders of the Senior Secured Notes, holding $2.0 million in aggregate principal amount, did not convert their Senior Secured Notes into shares of Common Stock and are recognized at amortized cost. As of December 31, 2024, the $2.2 million of aggregate principal and accrued interest on the outstanding Senior Secured Notes did not include any associated costs that are being recorded as a debt discount and amortized over the remaining term of the outstanding Senior Secured Notes.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Forward Purchase Agreement Derivative Liability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utilized a Monte-Carlo simulation to value the Forward Purchase Agreement derivative liability. We determined that the Forward Purchase Agreement contains (i) an Optional Early Termination provision, and (ii) a Variable Maturity Consideration. The Optional Early Termination and the Variable Maturity Consideration, as combined, are considered as a freestanding financial instrument and meet the definition of a derivative instrument. The fair value of the forward purchase agreement derivative liability, consisting of the Optional Early Termination and the Variable Maturity Consideration, was estimated using a Monte-Carlo Simulation in a risk-neutral framework. The fair value of the derivative liability was equal to the difference between the fair value of the Forward Purchase Agreement and the amount of cash receivable at the two-year settlement date, which was calculated as the present value of the initial reset price of $10.00 per share (as defined in the Forward Purchase Agreement) discounted using the term-matched risk-free rate.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the initial value of the instrument as a loss on issuance of forward purchase agreement derivative liability of $4.9 million in the consolidated statements of operations and comprehensive loss. The change in fair value of the forward purchase agreement derivative liability of $2.5 million was recorded during the year ended December 31, 2024, in the consolidated statements of operations and comprehensive loss.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Recently Issued and Adopted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financial position and results of operations is disclosed in Note 2 to our consolidated financial statements, which are included elsewhere in this Annual Report.</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Emerging Growth Company Status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qualifies as an “emerging growth company,” as defined in the Jumpstart Our Business Startups Act of 2012 (the “JOBS Act”). Pursuant to the JOBS Act, an emerging growth company is provided the option to adopt new or revised accounting standards that may be issued by Financial Accounting Standards Board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you receive from other public companies. We also intend to take advantage of some of the reduced regulatory and reporting requirements applicable to emerging growth companies pursuant to the JOBS Act so long as it qualifies as an emerging growth company, including, but not limited to, not being required to comply with the auditor attestation requirements of Section 404(b) of the Sarbanes-Oxley Act, reduced disclosure obligations regarding executive compensation and exemptions from the requirements of holding non-binding advisory votes on executive compensation and golden parachute payments.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1_012"/>
      <w:bookmarkEnd w:id="15"/>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See “</w:t>
      </w:r>
      <w:hyperlink w:anchor="s1_011">
        <w:r>
          <w:rPr>
            <w:rStyle w:val="InternetLink"/>
            <w:rFonts w:ascii="Times New Roman;Times;Serif" w:hAnsi="Times New Roman;Times;Serif"/>
            <w:b w:val="false"/>
            <w:i w:val="false"/>
            <w:caps w:val="false"/>
            <w:smallCaps w:val="false"/>
            <w:sz w:val="20"/>
          </w:rPr>
          <w:t>Management’s Discussion and Analysis of Financial Condition and Results of Operations – Overview</w:t>
        </w:r>
      </w:hyperlink>
      <w:r>
        <w:rPr>
          <w:rFonts w:ascii="Times New Roman;Times;Serif" w:hAnsi="Times New Roman;Times;Serif"/>
          <w:b w:val="false"/>
          <w:i w:val="false"/>
          <w:caps w:val="false"/>
          <w:smallCaps w:val="false"/>
          <w:sz w:val="20"/>
        </w:rPr>
        <w:t>” starting on page 46 for additional information about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we consummated the business combination contemplated by the Business Combination Agreement, dated September 6, 2023, by and among the Company, Merger Sub and Legacy Zapata. Pursuant to the Business Combination Agreement, the Merger took place pursuant to which Merger Sub merged with and into Legacy Zapata resulting in Legacy Zapata becoming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restructuring and financings completed in 2025 and 2026, the Company resumed active operations and rehired key personnel across research and development, product, strategy and operations, and commercial functions, including its Chief Technology Officer, Vice President of Strategy and Operations, Vice President of Product, and Senior Director of Partnerships and Go-to-Market. As disclosed in Financial Note 1 to the Financial Statements, management expects the Company's existing cash to be sufficient to fund its current operating plan for at least twelve months from the issuance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Company’s business plans and operations described herein, and our ability to execute and continue with such efforts, will depend on our ability to raise capital needed to repay vendors and creditors, rehire various personnel and fund our working capital and growth needs. Further, our capital raising efforts and business and operations generally are subject to numerous risks and uncertainties, as described under “</w:t>
      </w:r>
      <w:hyperlink w:anchor="s1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starting on page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 to Quantum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computing exploits the principles of quantum mechanics - superposition, entanglement, and interference - to process information in fundamentally new ways. Whereas classical computers operate on bits that are either 0 or 1, quantum computers use quantum bits, or “qubits” that can exist in multiple states simultaneously. This enables exponential scaling of computational possibilities and the potential to solve certain classes of problems - such as molecular simulation, combinatorial optimization, and cryptographic analysis - that are intractable on classical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field of quantum computing is advancing rapidly, supported by significant broad-based investment. Global governments have announced multibillion-dollar quantum initiatives, venture and public-market investment have accelerated considerably, and major cloud computing providers now offer access to quantum processors. A 2024 Boston Consulting Group analysis estimates that quantum technologies will create $450 billion to $850 billion of economic value globally, sustaining a $90 billion to $170 billion market for hardware and software providers by 2040.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Phases of Quantum Computing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phase of quantum computing has been the arrival of Noisy Intermediate-Scale Quantum (NISQ) devices, characterized by limited qubit counts and the absence of full error correction. Despite these constraints, NISQ computing can still deliver tangible value especially in areas such as materials, chemical simulations and optimization.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has contributed significantly to the advancement of NISQ approaches including pioneering the Variational Quantum Eigensolver (VQE), a foundational hybrid quantum-classical algorithm that combines quantum state preparation with classical optimization to estimate molecular and materials properties, with applications to other domains as well.VQE demonstrated one of the first practical uses of quantum hardware and helped establish the hybrid quantum-classical paradigm that continues to define much of the industry’s progress. Building on this foundation, Zapata develops software and tools that extend hybrid approaches to broader classes of scientific and industrial problems, creating an adaptable framework that evolves with each generation of hardware.Rapid progress is now being made toward the second phase of quantum computing, known as Fault-Tolerant Quantum Computing (FTQC), where error-corrected qubits enable deep, large-scale algorithms with transformative performance. As these systems come online, the race is underway to display what is known as “quantum advantage” or “quantum supremacy” in an increasing number of key problem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announcements by leading FTQC hardware providers has accelerated considerably in recent months - including improvement in qubit coherence times, falling error rates, the demonstration of prototype logical qubits, and the announcement of quantum advantage for some problems. As these breakthroughs accumulate, the focus of progress is shifting toward the application and software layer - where practical utility will first emerge. This is the domain where Zapata Quantum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Unlocking the full potential of FTQC will depend not only on better hardware, but also a mature software stack which will enhance the development of algorithms, compilers, and workflows that translate real-world problems into quantum form. Zapata has proven itself as a leader in this space, with pioneering work across a variety of domains - including chemistry, materials science, optimization, cryptography and machine learning.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advancing the software infrastructure and application frameworks that will define the next generation of quantum computing, Zapata plays a critical role in enabling the industry’s evolution toward large-scale, fault-tolerant quantum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market is entering what many observers describe as its “readiness phase,” evidenced by Microsoft’s declaration of 2025 as the year of quantum readiness. In 2024, McKinsey &amp; Co. estimated annual global spend on quantum computing technologies of approximately $2 billion, growing at 35% per year, including about $400 million directed to software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hardware improvements draw attention, the limiting factor to adoption is the absence of a robust, reusable software infrastructure. Enterprises seeking to explore quantum advantage face steep learning curves, fragmented hardware ecosystems, and scarce talent. Zapata addresses these pain points by providing a coherent, hardware-agnostic software stack and associated technical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quantum computing technology spans nearly every high-value computational domain: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Cryptography and cybersecurity - post-quantum encryption, secure communication, and threat assessment;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Optimization - financial portfolio construction, logistics, manufacturing scheduling, and energy-grid control;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Discovery and simulation - drug design, materials discovery, and climate modeling;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Defense and aerospace - signal processing, sensor fusion, and strategic decision optimization.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software layer will capture a high share of the value created by these solutions to our planet’s most intractable problems. Zapata’s strategy is to occupy this enabling layer - bridging scientific discovery and commercial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products are organized around what it refers to as the Generalized Quantum Stack - a three-layer model that defines the end-to-end process of quantum application development and execution. This framework, validated through Zapata’s multi-year leadership across all technical areas of DARPA’s Quantum Benchmarking program, provides the blueprint for accelerating progress from use case identification to implementation on physical hardware.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the Company intends to:</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development of its Quantum Graph and Quantum Pilot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research and development efforts with commercial and academic collaborators, including work under its recently announced collaboration with NVIDIA;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to pursue commercial engagements with prospective enterprise customers and strategic partners for the Company's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Pursue government funding opportunities and research grants;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Evaluate additional financing opportunities to support the Company's long-term growth strategy as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Zapata Generalized Quantum Stack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Layer 1: WHY - Use-Case and Utility Benchmark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Defines the purpose of quantum computing by assessing quantum-amenable problems and related utility benchmarks across domains such as chemistry, optimization, cryptography, and materials science. This layer involves curating high-utility, domain-driven benchmarks that connect abstract industry challenges to well-defined computational instances. Zapata’s work here includes building repositories of potential applications and developing workflows for systematic problem formulation, addressing a critical gap in how enterprises and researchers determine where quantum advantage will emerge.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Layer 2: WHAT - Algorithm Development and Benchmarking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Focuses on the design of quantum applications and algorithms. Zapata’s tools enable modular algorithm composition, evaluation, and benchmarking to translate domain problems into executable quantum circuits. This layer bridges academic innovation with industrial relevance by combining Zapata’s curated algorithm library and benchmarking datasets with methods for performance comparison across algorithms and hardware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Layer 3: HOW - Resource Estimation and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implementation phase, encompassing resource estimation, compilation, and hybrid execution across quantum and classical backends. Zapata’s platform, Orquestra, provides an environment for orchestrating these workflows, allowing developers to simulate, optimize, and run algorithms on real quantum hardware or high-performance classical infrastructure. This layer ensures forward compatibility as the industry transitions from NISQ systems to FTQC architectures.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layers define the roadmap for scalable quantum application development. Zapata is the only hardware-agnostic quantum software company to have demonstrated leadership across all three layers of this stack - uniquely positioned to lead the acceleration of the field from theoretical research to practical implementation.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Zapata products within these layers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Orquestra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Orquestra is Zapata’s software platform for developing, orchestrating, and executing quantum and hybrid classical/quantum applications. It provides a unified environment for constructing computational workflows that combine classical and quantum resources. Orquestra manages the end-to-end lifecycle: from problem definition through algorithm selection, circuit compilation, resource estimation, execution, and results analysis. The platform has been used in commercial and research settings including with BP p.l.c., BASF Group , Banco Bilbao Vizcaya Argentaria (BBVA), and Defense Advanced Research Projects Agency (DARPA).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Bench-Q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Bench-Q was developed under the U.S. Defense Advanced Research Projects Agency’s Quantum Benchmarking program, where Zapata uniquely participated across all technical areas (TA-1, TA-1.5 and TA-2). Bench-Q provides a standardized framework and software toolkit for evaluating quantum algorithms and hardware performance against utility-driven benchmarks. It defines metrics and workflows that allow researchers to trace the progression from abstract problem instances to executable circuits. The methods and data models produced in Bench-Q are core to Zapata’s commercial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Quantum 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Graph (QG) is a structured knowledge base that catalogs quantum use cases, algorithms, and application instances in a graph-based format. It provides a searchable, modular representation of how problems, algorithms, and hardware resources connect, forming a foundation for composable quantum application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Quantum Pilot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Pilot (QP) builds upon Quantum Graph by introducing an AI-assisted development environment that helps users compose, test, and refine hybrid quantum-classical workflows. By leveraging machine-learning models to suggest algorithmic building blocks and resource optimizations, Quantum Pilot aims to accelerate the design of viable quantum applications by orders of magnitude relative to manual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with our historical activities prior to the cessation of operations in June 2024, we intend to complement our software offerings with high-value technical services to help customers unlock value using Zapata’s software products. Zapata’s service engagements will be performed by teams of quantum scientists, engineers, and domain experts. We expect that certain projects may evolve into longer-term subscriptions to our products, recurring research programs, or joint development agreements that involve co-created or licensed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services will be strategically important both in the current noisy intermediate-scale quantum (NISQ) era and as fault-tolerant quantum computers (FTQC) become commercially available. By embedding its software and expertise in customer workflows today, Zapata intends to position itself as a long-term partner through the industry’s transition from research to scalable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Value Proposition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quantum application development gives enterprises the confidence to invest in quantum computing with clarity and measurable results. It empowers customers to identify where quantum will create real value, validate that potential through data-driven modeling and benchmarking, and prove performance on real hardware before making costly commitments. By uniting discovery, design, and execution in one hardware-agnostic workflow, Zapata delivers readiness by reducing uncertainty, accelerating time-to-insight, and future-proofing quantum adoption. The result is faster innovation, smarter resource allocation, and tangible evidence of competitive advantage, turning quantum ambition into validated business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and Go-To-Market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public sector, Zapata has served as a prime contractor and collaborator under the Defense Advanced Research Projects Agency (DARPA) Quantum Benchmarking (QB) program. It was the only provider chosen to contribute to all technical areas - TA1 (use-case identification and benchmark definition), TA1.5 (algorithm design and implementation), and TA2 (hardware resource estimation and execution) - covering the full spectrum from problem formulation through algorithm development to hardware realization.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work, Zapata developed the foundational methodologies and tooling that now underpin its commercial platforms, including Bench-Q, Orquestra, Quantum Graph and Quantum Pilot, in collaboration with leading universities, government research agencies, and hardware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go-to-market strategy is focusing on direct enterprise sales, channel partnerships, and ecosystem collaborations. It also partners with strategy consultancies that serve enterprise clients exploring quantum readiness. This partnership-driven approach amplifies reach while keeping the Company focused on its core software and IP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to provide subscription-based offerings that combine Zapata Quantum software—specifically the Orquestra platform and any modules such as Bench-Q, Quantum Pilot or Quantum Graph which are delivered on top of it—as well as related services to develop and efficiently deploy custom quantum or hybrid quantum-classical computing applications designed to resolve our enterprise customers’ specific problems.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revenue model is based on subscription payments for our offerings which are utilized to develop and efficiently deploy quantum or hybrid quantum-classical computing applications. Based on our prior operating experience, these engagements typically span use case discovery to prototyping, benchmarking, and ultimately production as quantum hardware advances. We will also, consistent with our historical activity, selectively pursue government contracts related to the advancement of quantum computing applications as a complementary revenue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Restructuring and Plan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restructuring and financings completed in 2025 and 2026, the Company has resumed active operations and rehired key personnel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the Company intends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development of its Quantum Graph and Quantum Pilot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research and development efforts with commercial and academic collaborators, including work under its recently announced collaboration with NVIDIA;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to pursue commercial engagements with prospective enterprise customers and strategic partners for the Company's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Pursue government funding opportunities and research grants;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Evaluate additional financing opportunities to support the Company's long-term growth strategy as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remains early and fragmented. Competition arises from (a) hardware manufacturers developing vertically integrated stacks (e.g., IBM, IonQ, Rigetti), (b) software-focused startups (e.g., Classiq, QC Ware, Horizon Quantum), and (c) internal R&amp;D groups within large enterprises.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Management believes that Zapata’s differentiation derives from several advantages: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Hardware agnosticism - Compatibility with all leading quantum hardware architectures;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Comprehensive stack coverage - Participation across every technical area of DARPA’s Quantum; Benchmarking Program, providing unique insight into end-to-end application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Proprietary IP portfolio - More than 60 issued or pending patents across jurisdictions covering the critical control points of quantum computing - program compilation, optimization methods, and information retrieval - validated by third-party analysis as essential to the emerging quantum software ecosystem;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Scientific leadership - A team of world-class researchers with deep roots in academic quantum computing, collectively holding dozens of publications and thousands of citations;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AI integration - The use of generative-AI and agent-based methods to augment and automate the creation of quantum algorithms, enabling order-of-magnitude gains in efficiency.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position Zapata as the leading pure-play publicly traded quantum software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Zapata had seven employees, three of whom are full-time including its Chief Executive Officer. The Company intends to expand its headcount considerably upon raising future financing including the re-hiring of certain employees who were with the Company prior to its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Zapata maintains good working relationships with its employees. None of our employees are subject to a collective bargaining agreement or are represented by labor unions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culture is built around its people and network: a global cohort of accomplished scientists, engineers and business professionals. Zapata has, since its founding, demonstrated a commitment to hiring people from diverse backgrounds and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Zapata’s core strengths is innovation, not only in its offerings, but also with the mindset of its people. Over the course of Zapata’s eight years in business, employees have, and continue to, organically collaborate in open forums with varying degrees of organization. Examples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10"/>
        <w:gridCol w:w="97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710" w:type="dxa"/>
            <w:tcBorders/>
            <w:vAlign w:val="center"/>
          </w:tcPr>
          <w:p>
            <w:pPr>
              <w:pStyle w:val="TableContents"/>
              <w:bidi w:val="0"/>
              <w:spacing w:before="0" w:after="283"/>
              <w:jc w:val="both"/>
              <w:rPr>
                <w:sz w:val="20"/>
              </w:rPr>
            </w:pPr>
            <w:r>
              <w:rPr>
                <w:sz w:val="20"/>
              </w:rPr>
              <w:t>Weekly science meetings where employees present their work;</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710" w:type="dxa"/>
            <w:tcBorders/>
            <w:vAlign w:val="center"/>
          </w:tcPr>
          <w:p>
            <w:pPr>
              <w:pStyle w:val="TableContents"/>
              <w:bidi w:val="0"/>
              <w:spacing w:before="0" w:after="283"/>
              <w:jc w:val="both"/>
              <w:rPr>
                <w:sz w:val="20"/>
              </w:rPr>
            </w:pPr>
            <w:r>
              <w:rPr>
                <w:sz w:val="20"/>
              </w:rPr>
              <w:t>Working groups where cross-functional group of employees converge to discuss how to move the platform forward;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710" w:type="dxa"/>
            <w:tcBorders/>
            <w:vAlign w:val="center"/>
          </w:tcPr>
          <w:p>
            <w:pPr>
              <w:pStyle w:val="TableContents"/>
              <w:bidi w:val="0"/>
              <w:spacing w:before="0" w:after="283"/>
              <w:jc w:val="both"/>
              <w:rPr>
                <w:sz w:val="20"/>
              </w:rPr>
            </w:pPr>
            <w:r>
              <w:rPr>
                <w:sz w:val="20"/>
              </w:rPr>
              <w:t>A book club, which rotates books and members and serves as a forum to have non-work-related discussions.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adheres to five core values: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Integrity: The practice of being honest and showing a consistent and uncompromising adherence to strong moral, ethical, and scientific principles and values.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Revolutionary Mindset: An attitude towards changing established paradigms and looking for innovative solutions to problems.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Transparency: Operating in a way that makes it easy for others to see what actions are performed. This manifests itself in a culture of providing feedback and communicating clearly, recognizing our own mistakes, disagreeing in a constructive way.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Inclusiveness: The quality of including many different types of people and treating them all fairly and equally. We strive to be empathic and to appreciate the unique perspective of other people and teams at Zapata Quantum, their own needs and struggles, and to build processes that intentionally include a broad range of perspectives.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Thoughtfulness: Making ourselves aware of the needs and feelings of others and acting accordingly. Bringing new depth to solutions takes time and attention. We make decisions with a rounded view, considering the needs of all stakeholders and the impact it will have, with as much data as possible.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Quantum’s platform is grounded in a broad and growing portfolio of intellectual property that secures its position as a leader in quantum software. The Company’s intellectual property (IP) strategy focuses on protecting core technologies that enable the efficient development, benchmarking, and deployment of quantum and hybrid applications across multiple hardware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Zapata Quantum held or had pending more than 60 patents worldwide, spanning the United States, Europe, Canada, Australia, and Israel. These patents and applications cover critical methods and systems that define the key control points in quantum software - including program compilation, optimization methods, and information retrieval between classical and quantum computing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intellectual property portfolio comprises 42 granted patents worldwide, with expiration dates ranging from August 2039 to March 2044, and an additional 39 applications in prosecution (pending, published, or allowed). The portfolio spans the United States, Canada, Australia, Israel, Japan, China, Taiwan, and Europe, including the European Patent Office and national rights in Austria, Denmark, France, Germany, Italy, the Netherlands, Norway, Spain, Switzerland, and the United Kingdom, with further international applications filed under the Patent Cooperation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667250" cy="2638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67250" cy="26384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Representative Patents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U.S. Patent No. 11,599,344 - Computer Architecture for Compiling Hybrid AI / Quantum Programs (QIR) - foundational compiler framework enabling concurrent classical-quantum execution through a Quantum Intermediate Representation (QIR).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U.S. Patent No. 11,615,329 - Hybrid Quantum-Classical Computer for Bayesian Inference - improves probabilistic inference by reducing measurement overhead and enhancing efficiency as hardware scales.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U.S. Patent No. 11,605,015 - Hybrid Quantum-Classical Computer System for Implementing and Optimizing Quantum Boltzmann Machines - supports hybrid learning models for generative AI and materials discovery.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U.S. Patent No. 11,663,513 - Quantum Computer with Exact Compression of Quantum States - reduces qubit requirements through mathematically exact state compression.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U.S. Patent No. 11,169,801 - Hybrid Quantum-Classical Computer for Variational Coupled Cluster Methods - pioneering VQE-based algorithm for molecular and materials simulation.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U.S. Patent No. 11,681,774 - Classically-Boosted Quantum Optimization System - enhances convergence speed of quantum optimization algorithms using classical heuristics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early and sustained investment in these domains established Zapata as one of the first companies to secure foundational intellectual property for hybrid quantum-classical computing. The Company believes its intellectual property represents a durable competitive advantage that will be increasingly difficult for competitors to replicate. Zapata continues to evaluate opportunities to assert, license, and expand its IP rights globally to maximize shareholder value and maintain leadership in quantum software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are central to Zapata Quantum’s mission of advancing practical quantum computing. The Company’s R&amp;D program focuses on the creation of scalable algorithmic frameworks, benchmarking methodologies, and AI-assisted development tools that enhance the performance and usability of its software platforms. These initiatives support both near-term hybrid computing and the transition to future fault-tolerant quantum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R&amp;D activities are carried out through close collaboration with government agencies, research consortia, leading universities, and quantum hardware providers. The Company has partnered with multiple academic and national research institutions worldwide, engaging in joint projects that span algorithm design, benchmarking, and system integration. These collaborations help validate Zapata’s technologies in real-world settings and ensure alignment with global scientific and industrial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supported by a Scientific Advisory Board composed of prominent researchers and technical leaders from across the globe who are recognized authorities in quantum information science, applied mathematics, and computational physics. This board provides guidance on long-term research directions, peer review of core technologies, and input on emerging scientific and policy trends affecting the quantum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these efforts, Zapata seeks to accelerate the development of useful quantum applications while deepening its intellectual-property base. The Company’s integrated research program - combining internal innovation, academic collaboration, and global scientific advisory oversight - positions it to contribute meaningfully to the advancement and commercialization of quantum computing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legal proceedings and claims that arise in the ordinary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store, and otherwise process personal information and other data from and about our employees, and from other stakeholders like our vendors. There are numerous federal, state, provincial, local, and international laws and regulations regarding privacy, data protection, information security, and the storing, sharing, use, processing, transfer, disclosure, retention, and protection of personal information and other content, the scope of which is rapidly changing, subject to differing interpretations and may be inconsistent among regions, countries and states, or conflict with other legal requirements. We strive to comply with applicable laws, regulations, policies, and other legal obligations relating to privacy, data protection, and information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For a discussion of certain of the government regulations we currently or may in the future face in conducting our business and the risks and uncertainties relating thereto, see “</w:t>
      </w:r>
      <w:hyperlink w:anchor="s1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1_013"/>
      <w:bookmarkEnd w:id="16"/>
      <w:r>
        <w:rPr>
          <w:rFonts w:ascii="Times New Roman;Times;Serif" w:hAnsi="Times New Roman;Times;Serif"/>
          <w:b/>
          <w:i w:val="false"/>
          <w:caps w:val="false"/>
          <w:smallCaps w:val="false"/>
          <w:sz w:val="20"/>
        </w:rPr>
        <w:t>MARKET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listed on any securities exchange, and is quoted on the OTCQB under the symbol “ZPTA.” Because our Common Stock is not listed on a securities exchange, there is currently a limited public trading market for our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28, 2026, there were approximately 99 shareholders of record of the Company's Common Stock. We believe that additional beneficial owners of our Common Stock hold shares in street name.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1_014"/>
      <w:bookmarkEnd w:id="17"/>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1715"/>
        <w:gridCol w:w="60"/>
        <w:gridCol w:w="350"/>
        <w:gridCol w:w="60"/>
        <w:gridCol w:w="4955"/>
      </w:tblGrid>
      <w:tr>
        <w:trPr/>
        <w:tc>
          <w:tcPr>
            <w:tcW w:w="1715"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8" w:space="0" w:color="000000"/>
            </w:tcBorders>
            <w:vAlign w:val="center"/>
          </w:tcPr>
          <w:p>
            <w:pPr>
              <w:pStyle w:val="TableContents"/>
              <w:bidi w:val="0"/>
              <w:spacing w:before="0" w:after="283"/>
              <w:jc w:val="left"/>
              <w:rPr>
                <w:b/>
                <w:sz w:val="20"/>
              </w:rPr>
            </w:pPr>
            <w:r>
              <w:rPr>
                <w:b/>
                <w:sz w:val="20"/>
              </w:rPr>
              <w:t>Title</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Sumit Kapur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sz w:val="20"/>
              </w:rPr>
            </w:pPr>
            <w:r>
              <w:rPr>
                <w:sz w:val="20"/>
              </w:rPr>
              <w:t>Chief Executive Officer and Chief Financial Officer, Director</w:t>
            </w:r>
          </w:p>
        </w:tc>
      </w:tr>
      <w:tr>
        <w:trPr/>
        <w:tc>
          <w:tcPr>
            <w:tcW w:w="1715" w:type="dxa"/>
            <w:tcBorders/>
            <w:shd w:fill="FFFFFF" w:val="clear"/>
            <w:tcMar>
              <w:bottom w:w="0" w:type="dxa"/>
            </w:tcMar>
            <w:vAlign w:val="center"/>
          </w:tcPr>
          <w:p>
            <w:pPr>
              <w:pStyle w:val="TableContents"/>
              <w:bidi w:val="0"/>
              <w:spacing w:before="0" w:after="283"/>
              <w:jc w:val="left"/>
              <w:rPr>
                <w:sz w:val="20"/>
              </w:rPr>
            </w:pPr>
            <w:r>
              <w:rPr>
                <w:sz w:val="20"/>
              </w:rPr>
              <w:t>Clark Golestani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sz w:val="20"/>
              </w:rPr>
            </w:pPr>
            <w:r>
              <w:rPr>
                <w:sz w:val="20"/>
              </w:rPr>
              <w:t>Chairman of the Board of Directors</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William E. Klitgaard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 Kapur</w:t>
      </w:r>
      <w:r>
        <w:rPr>
          <w:rFonts w:ascii="Times New Roman;Times;Serif" w:hAnsi="Times New Roman;Times;Serif"/>
          <w:b w:val="false"/>
          <w:i w:val="false"/>
          <w:caps w:val="false"/>
          <w:smallCaps w:val="false"/>
          <w:sz w:val="20"/>
        </w:rPr>
        <w:t>, has served as Chief Executive Officer of the Company since October 7, 2024, Chief Financial Officer since May 8, 2024, and a director since October 9, 2025. Mr. Kapur previously served as the Chief Financial Officer of 3Degrees Inc., a financial services and technology company in the energy sector, from May 2012 to January 2024. Prior to that, Mr. Kapur served as vice president – structured finance, of Sungevity, a solar electricity company, from May 2010 to September 2011, investment analyst at Stark Investments, an investment management firm, from February 2008 to June 2009, and vice president – structured finance group, of Morgan Stanley from August 2004 to February 2008. Mr. Kapur has served on multiple boards of private entities, including the board of directors of Tulip.ai, a venture backed startup making holistic healthcare solutions more accessible and effective through the application of artificial intelligence models, since January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Clark Golestani</w:t>
      </w:r>
      <w:r>
        <w:rPr>
          <w:rFonts w:ascii="Times New Roman;Times;Serif" w:hAnsi="Times New Roman;Times;Serif"/>
          <w:b w:val="false"/>
          <w:i w:val="false"/>
          <w:caps w:val="false"/>
          <w:smallCaps w:val="false"/>
          <w:sz w:val="20"/>
        </w:rPr>
        <w:t>, has served as Chairman of the Board of Directors of the Company (the “Board”) since October 9, 2025, a member of our Board since March 2024 and as a member of the Legacy Zapata Board since September 2018. Mr. Golestani has over 35 years of experience in health, life sciences and technology, and is an active investor, advisor and board member across the healthcare and technology, media, and telecommunications (“TMT”) sectors. Mr. Golestani serves as the Managing Director of C Sensei Group, a business consulting and services company since April 2018, as a Senior Advisor at New Mountain Capital, a private equity firm since April 2018, as an Industry Advisor at Advent, a private equity firm since September 2025. Mr. Golestani also serves as the Managing Director of the K2 Access Fund since October 2020, and as a member of the investment committee of The CXO Fund since August 2018, both venture capital firms that invest in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from June 1994 to April 2018, Mr. Golestani served in multiple positions at Merck &amp; Co. (NYSE: MRK) (“Merck”), a multinational pharmaceutical company, where he was responsible for, among other things, Merck’s portfolio of digital health services and solutions companies, most recently as President, Emerging Businesses and Global Chief Information Officer, prior to his retirement in April 2018. Mr. Golestani also serves as a member of the board of directors of a number of companies, including: eMids, a consulting firm that provides IT and business process management solutions to the healthcare industry, since April 2020; Emmes, a clinical research organization, since March 2021; Iridius.ai, a next-generation agentic AI platform accelerating innovation in the world's most regulated industries, since September 2025; Otonoma, a secure platform that powers the next generation of digital operations with its Paranet system, since August 2024. Mr. Golestani also previously served as a director on the boards of a number of companies, including: Sparta Systems, Inc. as Chairman, an enterprise quality management software provider that was acquired by Honeywell, Inc. (April 2018 to February 2021); CIOX Health, a healthcare information management company (September 2018 to October 2021); Molecula Corp., an artificial intelligence and data analytics company which was acquired by Circuit.ai (September 2020 to June 2024);  Toposware Inc., a developer of blockchain technology acquired by Polygon Labs (December 2020 to May 2024); TruU, Inc. a cybersecurity company (May 2018 to December 2022); UMUC Ventures Inc., a non-profit that provides innovative technology transformation services to educational organizations (April 2016 to September 2020); Seal Software Limited, a contract discovery and contract management software solutions company that was acquired by DocuSign, Inc. (April 2016 to May 2020); and Liaison Technologies, Inc., a global integration and data management company (November 2011 to September 2015).  Mr. Golestani is also a co-founder of Cross Road Technologies, Inc., an IT applications development company. We believe Mr. Golestani is qualified to serve on our Board due to his vast experience and success as a director and executive officer of both public and private companies in the healthcare and TMT sectors and his expertise in finance and venture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William E. Klitgaard</w:t>
      </w:r>
      <w:r>
        <w:rPr>
          <w:rFonts w:ascii="Times New Roman;Times;Serif" w:hAnsi="Times New Roman;Times;Serif"/>
          <w:b w:val="false"/>
          <w:i w:val="false"/>
          <w:caps w:val="false"/>
          <w:smallCaps w:val="false"/>
          <w:sz w:val="20"/>
        </w:rPr>
        <w:t>, has served as a director of the Company since October 8, 2025 and was previously a member of our Board from March 2024 to October 15, 2024. Mr. Klitgaard has been a member of the Legacy Zapata Board since June 2023. Mr. Klitgaard has served as an operating executive at Avista Capital Partners, a private equity firm, since 2020. Mr. Klitgaard most recently served as President of Enlighten Health, a division of LabCorp (NYSE:LH) that focuses on innovation and creation of new information-based services utilizing core assets of LabCorp and Covance, Inc. Previously, he spent 19 years at Covance, one of the world’s largest contract research organizations, where he served for three years as Corporate Senior Vice President and Chief Information Officer, and nearly twelve years as Corporate Senior Vice President and Chief Financial Officer. Mr. Klitgaard has served as a director and chair of the audit committee of XIFIN, Inc., a healthcare innovative technology company, since January 2020. Mr. Klitgaard previously served as a director of Syneos Health, Inc. (NASDAQ: SYNH), from March 2017 to September 2023, Inform Diagnostics, from December 2019 to April 2022, Liaison Technologies, from August 2013 to December 2018, Bioclinica, Inc., from June 2018 to March 2019, and Certara, L.P., from September 2017 to July 2020. We believe Mr. Klitgaard’s private equity investment and company oversight experience and background, as well as his financial experience, makes him well qualified to serve on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1_015"/>
      <w:bookmarkEnd w:id="18"/>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transactions since January 1, 2024 as to which the amount involved exceeds the lesser of $120,000 or one percent (1%) of the average of the Company’s total assets at year-end for the last two completed fiscal years, which is $25,000, and in which any related person has or will have a direct or indirect material interest, other than equity, compensation, termination and other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former member of the Board of Directors of Legacy Zapata that left the Board of Directors in March 2024 also provided consulting services to the Company. For the year ended December 31, 2025 and 2024, the Company remitted fees of $0 and $48,000 to the member of its Board of Directors for these services,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Andretti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Legacy Zapata entered into a sponsorship agreement for marketing services to be provided by Andretti Autosport Holding Company, LLC (f/k/a Andretti Autosport Holding Company, Inc., “Andretti Global”). The total commitment under the sponsorship agreement is $8,000 and is due and payable over the period of February 2022 through December 2024. Through December 31, 2024, the Company paid $3,500, leaving $4,500 included in accounts payable as of December 31, 2024. During the year ended December 31, 2024, the Company recognized $2,783 of expenses under the sponsorship agreement. On March 28, 2024, Legacy Zapata entered into a sponsorship agreement with Andretti Autosport 1, LLC, an affiliate of Andretti Global. The agreement expired on December 31, 2024. Subject to the agreement, Legacy Zapata is responsible for payments under the sponsorship agreement in an amount totaling $1,000 that was recognized as expense during the year ended December 31, 2024 and was outstanding as of that date. During the fourth quarter of 2025, the Company entered into a Conversion Agreement that converted $5,504 of accounts payable owed to Andretti Global and its affiliate, Andretti Autosport 1, LLC, less an accounts receivable balance of $1,567, which was subsequently converted into the Company’s Common Stock in the fourth quarter of 2025. As of December 31, 2025, no remaining balance is owed Andretti Global and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AAC’s affiliates, Andretti Global, has preexisting contractual relationships with Legacy Zapata. In February 2022, Andretti Global entered into i) an enterprise solution subscription agreement and ii) a sponsorship agreement with Legacy Zapata, both of which expire on December 31, 2024. During the year ended December 31, 2025 and 2024, the Company recorded $0 and $1,300 in revenue related to the enterprise solution 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1_016"/>
      <w:bookmarkEnd w:id="19"/>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related to the compensation paid, distributed or accrued by us for the fiscal years ended December 31, 2025 and 2024 to our Chief Executive Officer (principal executive officer) (the “Named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28" w:type="dxa"/>
          <w:right w:w="0" w:type="dxa"/>
        </w:tblCellMar>
      </w:tblPr>
      <w:tblGrid>
        <w:gridCol w:w="2300"/>
        <w:gridCol w:w="60"/>
        <w:gridCol w:w="530"/>
        <w:gridCol w:w="60"/>
        <w:gridCol w:w="60"/>
        <w:gridCol w:w="800"/>
        <w:gridCol w:w="140"/>
        <w:gridCol w:w="60"/>
        <w:gridCol w:w="67"/>
        <w:gridCol w:w="763"/>
        <w:gridCol w:w="60"/>
        <w:gridCol w:w="60"/>
        <w:gridCol w:w="60"/>
        <w:gridCol w:w="800"/>
        <w:gridCol w:w="60"/>
        <w:gridCol w:w="60"/>
        <w:gridCol w:w="120"/>
        <w:gridCol w:w="1370"/>
        <w:gridCol w:w="60"/>
        <w:gridCol w:w="60"/>
        <w:gridCol w:w="60"/>
        <w:gridCol w:w="800"/>
        <w:gridCol w:w="75"/>
      </w:tblGrid>
      <w:tr>
        <w:trPr/>
        <w:tc>
          <w:tcPr>
            <w:tcW w:w="2300" w:type="dxa"/>
            <w:tcBorders>
              <w:bottom w:val="single" w:sz="8" w:space="0" w:color="000000"/>
            </w:tcBorders>
            <w:vAlign w:val="center"/>
          </w:tcPr>
          <w:p>
            <w:pPr>
              <w:pStyle w:val="TableContents"/>
              <w:bidi w:val="0"/>
              <w:spacing w:before="0" w:after="283"/>
              <w:jc w:val="left"/>
              <w:rPr>
                <w:b/>
              </w:rPr>
            </w:pPr>
            <w:r>
              <w:rPr>
                <w:b/>
              </w:rPr>
              <w:t>Name and</w:t>
              <w:br/>
              <w:t>Principal Position</w:t>
              <w:br/>
              <w:t>(a)</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br/>
              <w:t>(b)</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Salary</w:t>
              <w:br/>
              <w:t>($)(c)</w:t>
            </w:r>
          </w:p>
        </w:tc>
        <w:tc>
          <w:tcPr>
            <w:tcW w:w="1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b/>
              </w:rPr>
            </w:pPr>
            <w:r>
              <w:rPr>
                <w:b/>
              </w:rPr>
              <w:t>Stock</w:t>
              <w:br/>
              <w:t>Awards</w:t>
              <w:br/>
              <w:t>($)(d)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Option</w:t>
              <w:br/>
              <w:t>Awards</w:t>
              <w:b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w:t>
              <w:br/>
              <w:t>Compensation</w:t>
              <w:br/>
              <w:t>($)(f)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Total</w:t>
              <w:br/>
              <w:t>($)(g)</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Sumit Kapur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520,458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42,948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926,406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309,167</w:t>
            </w:r>
          </w:p>
        </w:tc>
        <w:tc>
          <w:tcPr>
            <w:tcW w:w="14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483,434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33,758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826,358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cessation of operations in 2025, the Company paid all employees through October 9,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283"/>
              <w:jc w:val="both"/>
              <w:rPr>
                <w:sz w:val="20"/>
              </w:rPr>
            </w:pPr>
            <w:r>
              <w:rPr>
                <w:sz w:val="20"/>
              </w:rPr>
              <w:t>(1)</w:t>
            </w:r>
          </w:p>
        </w:tc>
        <w:tc>
          <w:tcPr>
            <w:tcW w:w="9940" w:type="dxa"/>
            <w:tcBorders/>
            <w:vAlign w:val="center"/>
          </w:tcPr>
          <w:p>
            <w:pPr>
              <w:pStyle w:val="TableContents"/>
              <w:bidi w:val="0"/>
              <w:spacing w:before="0" w:after="283"/>
              <w:jc w:val="both"/>
              <w:rPr>
                <w:sz w:val="20"/>
              </w:rPr>
            </w:pPr>
            <w:r>
              <w:rPr>
                <w:sz w:val="20"/>
              </w:rPr>
              <w:t>Mr. Kapur has a base salary of $350,000 and bonus target of 30% or $105,000. In the table above his salary for 2025 includes $350,000 base pay. Mr. Kapur’s “All Other Compensation” for 2025 includes $42,948 for health insurance. Mr. Kapur’s “Stock Awards” represent 32,500,000 shares of restricted stock granted on July 10, 2025, valued at $0.0004 per share, which was the closing market price on the issuance date.  On October 9, 2025, the Company appointed Mr. Sumit Kapur to the Board. In connection with his appointment, the Company granted Mr. Kapur 1,000,000 five-year stock options with an exercise price of $0.08, vesting in equal monthly increments over a two-year period. On October 9, 2025, in connection with Mr. Kapur’s services as Chief Executive Officer, the Company also granted Mr. Kapur 5,000,000 five-year stock options with an exercise price of $0.08, vesting in equal monthly installments over four years. These were awarded under the 2024 Equity and Incentive Plan. The amount under “Option Awards” represents the fair market value of such grant calculated in accordance with ASC 718. This amount does not reflect the actual economic value realized by the officer.</w:t>
            </w:r>
          </w:p>
        </w:tc>
      </w:tr>
      <w:tr>
        <w:trPr/>
        <w:tc>
          <w:tcPr>
            <w:tcW w:w="75"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283"/>
              <w:jc w:val="both"/>
              <w:rPr/>
            </w:pPr>
            <w:r>
              <w:rPr/>
              <w:t> </w:t>
            </w:r>
          </w:p>
        </w:tc>
        <w:tc>
          <w:tcPr>
            <w:tcW w:w="99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283"/>
              <w:jc w:val="both"/>
              <w:rPr>
                <w:sz w:val="20"/>
              </w:rPr>
            </w:pPr>
            <w:r>
              <w:rPr>
                <w:sz w:val="20"/>
              </w:rPr>
              <w:t>(2)</w:t>
            </w:r>
          </w:p>
        </w:tc>
        <w:tc>
          <w:tcPr>
            <w:tcW w:w="9940" w:type="dxa"/>
            <w:tcBorders/>
            <w:vAlign w:val="center"/>
          </w:tcPr>
          <w:p>
            <w:pPr>
              <w:pStyle w:val="TableContents"/>
              <w:bidi w:val="0"/>
              <w:spacing w:before="0" w:after="283"/>
              <w:jc w:val="both"/>
              <w:rPr>
                <w:sz w:val="20"/>
              </w:rPr>
            </w:pPr>
            <w:r>
              <w:rPr>
                <w:sz w:val="20"/>
              </w:rPr>
              <w:t>Mr. Kapur joined the Company on May 13, 2024 with a base salary of $350,000 and bonus target of 30% or $105,000. In the table above his salary for 2024 includes $134,167 standard pay through September 30, 2024 and $175,000 for a six months’ advance/prepayment of salary to retain services to conduct the cessation of operations. Mr. Kapur’s “All Other Compensation” for 2024 includes a payment for his unused paid time off as of the cessation date, $9,898 as well as $23,860 for a six months’ advance/prepayment of health insurance. Mr. Kapur was awarded an Inducement Award on May 8, 2024 which included 656,370 options at an exercise price of $1.12 vesting at “one year cliff, then 36 monthly vest”. These were awarded under the 2018 Plan. The amount under “Option Awards” represents the fair market value of such grant calculated in accordance with ASC 718. This amount does not reflect the actual economic value realized by the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 Kapur</w:t>
      </w:r>
      <w:r>
        <w:rPr>
          <w:rFonts w:ascii="Times New Roman;Times;Serif" w:hAnsi="Times New Roman;Times;Serif"/>
          <w:b w:val="false"/>
          <w:i w:val="false"/>
          <w:caps w:val="false"/>
          <w:smallCaps w:val="false"/>
          <w:sz w:val="20"/>
        </w:rPr>
        <w:t>. Mr. Kapur is employed by the Company pursuant to an oral agreement under which he receives the compensation described in the table above and such other compensation as may be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is information with respect to unexercised options that have not vested and equity incentive plan awards for the Named Executive Officer outstanding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3"/>
        <w:gridCol w:w="60"/>
        <w:gridCol w:w="89"/>
        <w:gridCol w:w="1202"/>
        <w:gridCol w:w="60"/>
        <w:gridCol w:w="60"/>
        <w:gridCol w:w="90"/>
        <w:gridCol w:w="1478"/>
        <w:gridCol w:w="60"/>
        <w:gridCol w:w="60"/>
        <w:gridCol w:w="1301"/>
        <w:gridCol w:w="60"/>
        <w:gridCol w:w="215"/>
        <w:gridCol w:w="677"/>
        <w:gridCol w:w="60"/>
        <w:gridCol w:w="60"/>
        <w:gridCol w:w="1131"/>
        <w:gridCol w:w="60"/>
        <w:gridCol w:w="67"/>
        <w:gridCol w:w="1238"/>
        <w:gridCol w:w="60"/>
        <w:gridCol w:w="60"/>
        <w:gridCol w:w="68"/>
        <w:gridCol w:w="1254"/>
        <w:gridCol w:w="82"/>
      </w:tblGrid>
      <w:tr>
        <w:trPr/>
        <w:tc>
          <w:tcPr>
            <w:tcW w:w="653"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w:t>
              <w:br/>
              <w:t>Unexercised</w:t>
              <w:br/>
              <w:t>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8" w:type="dxa"/>
            <w:gridSpan w:val="2"/>
            <w:tcBorders>
              <w:bottom w:val="single" w:sz="8" w:space="0" w:color="000000"/>
            </w:tcBorders>
            <w:vAlign w:val="center"/>
          </w:tcPr>
          <w:p>
            <w:pPr>
              <w:pStyle w:val="TableContents"/>
              <w:bidi w:val="0"/>
              <w:spacing w:before="0" w:after="283"/>
              <w:jc w:val="center"/>
              <w:rPr>
                <w:b/>
              </w:rPr>
            </w:pPr>
            <w:r>
              <w:rPr>
                <w:b/>
              </w:rPr>
              <w:t>Number of Securities Underlying Unexercised Options</w:t>
              <w:br/>
              <w:t>(#)</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1" w:type="dxa"/>
            <w:tcBorders>
              <w:bottom w:val="single" w:sz="8" w:space="0" w:color="000000"/>
            </w:tcBorders>
            <w:vAlign w:val="center"/>
          </w:tcPr>
          <w:p>
            <w:pPr>
              <w:pStyle w:val="TableContents"/>
              <w:bidi w:val="0"/>
              <w:spacing w:before="0" w:after="283"/>
              <w:jc w:val="center"/>
              <w:rPr>
                <w:b/>
              </w:rPr>
            </w:pPr>
            <w:r>
              <w:rPr>
                <w:b/>
              </w:rPr>
              <w:t>Equity Incentive</w:t>
              <w:br/>
              <w:t>Plan Awards:</w:t>
              <w:br/>
              <w:t>Number of Securities</w:t>
              <w:br/>
              <w:t>Underlying Unexercised</w:t>
              <w:br/>
              <w:t>Unearned Options</w:t>
            </w:r>
          </w:p>
        </w:tc>
        <w:tc>
          <w:tcPr>
            <w:tcW w:w="60" w:type="dxa"/>
            <w:tcBorders/>
            <w:tcMar>
              <w:bottom w:w="0" w:type="dxa"/>
            </w:tcMar>
            <w:vAlign w:val="center"/>
          </w:tcPr>
          <w:p>
            <w:pPr>
              <w:pStyle w:val="TableContents"/>
              <w:bidi w:val="0"/>
              <w:spacing w:before="0" w:after="283"/>
              <w:jc w:val="left"/>
              <w:rPr/>
            </w:pPr>
            <w:r>
              <w:rPr/>
              <w:t> </w:t>
            </w:r>
          </w:p>
        </w:tc>
        <w:tc>
          <w:tcPr>
            <w:tcW w:w="892" w:type="dxa"/>
            <w:gridSpan w:val="2"/>
            <w:tcBorders>
              <w:bottom w:val="single" w:sz="8" w:space="0" w:color="000000"/>
            </w:tcBorders>
            <w:vAlign w:val="center"/>
          </w:tcPr>
          <w:p>
            <w:pPr>
              <w:pStyle w:val="TableContents"/>
              <w:bidi w:val="0"/>
              <w:spacing w:before="0" w:after="283"/>
              <w:jc w:val="center"/>
              <w:rPr>
                <w:b/>
              </w:rPr>
            </w:pPr>
            <w:r>
              <w:rPr>
                <w:b/>
              </w:rPr>
              <w:t>Option</w:t>
              <w:br/>
              <w:t>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1" w:type="dxa"/>
            <w:tcBorders>
              <w:bottom w:val="single" w:sz="8" w:space="0" w:color="000000"/>
            </w:tcBorders>
            <w:vAlign w:val="center"/>
          </w:tcPr>
          <w:p>
            <w:pPr>
              <w:pStyle w:val="TableContents"/>
              <w:bidi w:val="0"/>
              <w:spacing w:before="0" w:after="283"/>
              <w:jc w:val="center"/>
              <w:rPr>
                <w:b/>
              </w:rPr>
            </w:pPr>
            <w:r>
              <w:rPr>
                <w:b/>
              </w:rPr>
              <w:t>Option</w:t>
              <w:br/>
              <w:t>Expiration Date</w:t>
            </w:r>
          </w:p>
        </w:tc>
        <w:tc>
          <w:tcPr>
            <w:tcW w:w="60" w:type="dxa"/>
            <w:tcBorders/>
            <w:tcMar>
              <w:bottom w:w="0" w:type="dxa"/>
            </w:tcMar>
            <w:vAlign w:val="center"/>
          </w:tcPr>
          <w:p>
            <w:pPr>
              <w:pStyle w:val="TableContents"/>
              <w:bidi w:val="0"/>
              <w:spacing w:before="0" w:after="283"/>
              <w:jc w:val="left"/>
              <w:rPr/>
            </w:pPr>
            <w:r>
              <w:rPr/>
              <w:t> </w:t>
            </w:r>
          </w:p>
        </w:tc>
        <w:tc>
          <w:tcPr>
            <w:tcW w:w="1305" w:type="dxa"/>
            <w:gridSpan w:val="2"/>
            <w:tcBorders>
              <w:bottom w:val="single" w:sz="8" w:space="0" w:color="000000"/>
            </w:tcBorders>
            <w:vAlign w:val="center"/>
          </w:tcPr>
          <w:p>
            <w:pPr>
              <w:pStyle w:val="TableContents"/>
              <w:bidi w:val="0"/>
              <w:spacing w:before="0" w:after="283"/>
              <w:jc w:val="center"/>
              <w:rPr>
                <w:b/>
              </w:rPr>
            </w:pPr>
            <w:r>
              <w:rPr>
                <w:b/>
              </w:rPr>
              <w:t>Number of Shares or Units of Stock That Have Not 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2" w:type="dxa"/>
            <w:gridSpan w:val="2"/>
            <w:tcBorders>
              <w:bottom w:val="single" w:sz="8" w:space="0" w:color="000000"/>
            </w:tcBorders>
            <w:vAlign w:val="center"/>
          </w:tcPr>
          <w:p>
            <w:pPr>
              <w:pStyle w:val="TableContents"/>
              <w:bidi w:val="0"/>
              <w:spacing w:before="0" w:after="283"/>
              <w:jc w:val="center"/>
              <w:rPr>
                <w:b/>
              </w:rPr>
            </w:pPr>
            <w:r>
              <w:rPr>
                <w:b/>
              </w:rPr>
              <w:t>Market Value of Shares or Units of Stock That Have Not Vested</w:t>
            </w:r>
          </w:p>
        </w:tc>
        <w:tc>
          <w:tcPr>
            <w:tcW w:w="82" w:type="dxa"/>
            <w:tcBorders/>
            <w:tcMar>
              <w:bottom w:w="0" w:type="dxa"/>
            </w:tcMar>
            <w:vAlign w:val="center"/>
          </w:tcPr>
          <w:p>
            <w:pPr>
              <w:pStyle w:val="TableContents"/>
              <w:bidi w:val="0"/>
              <w:spacing w:before="0" w:after="283"/>
              <w:jc w:val="left"/>
              <w:rPr/>
            </w:pPr>
            <w:r>
              <w:rPr/>
              <w:t> </w:t>
            </w:r>
          </w:p>
        </w:tc>
      </w:tr>
      <w:tr>
        <w:trPr/>
        <w:tc>
          <w:tcPr>
            <w:tcW w:w="653" w:type="dxa"/>
            <w:tcBorders>
              <w:bottom w:val="single" w:sz="8" w:space="0" w:color="000000"/>
            </w:tcBorders>
            <w:vAlign w:val="center"/>
          </w:tcPr>
          <w:p>
            <w:pPr>
              <w:pStyle w:val="TableContents"/>
              <w:bidi w:val="0"/>
              <w:spacing w:before="0" w:after="283"/>
              <w:jc w:val="left"/>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8" w:space="0" w:color="000000"/>
            </w:tcBorders>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8" w:type="dxa"/>
            <w:gridSpan w:val="2"/>
            <w:tcBorders>
              <w:bottom w:val="single" w:sz="8" w:space="0" w:color="000000"/>
            </w:tcBorders>
            <w:vAlign w:val="center"/>
          </w:tcPr>
          <w:p>
            <w:pPr>
              <w:pStyle w:val="TableContents"/>
              <w:bidi w:val="0"/>
              <w:spacing w:before="0" w:after="283"/>
              <w:jc w:val="center"/>
              <w:rPr>
                <w:b/>
              </w:rPr>
            </w:pPr>
            <w:r>
              <w:rPr>
                <w:b/>
              </w:rPr>
              <w:t>(c)</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1" w:type="dxa"/>
            <w:tcBorders>
              <w:bottom w:val="single" w:sz="8" w:space="0" w:color="000000"/>
            </w:tcBorders>
            <w:vAlign w:val="center"/>
          </w:tcPr>
          <w:p>
            <w:pPr>
              <w:pStyle w:val="TableContents"/>
              <w:bidi w:val="0"/>
              <w:spacing w:before="0" w:after="283"/>
              <w:jc w:val="center"/>
              <w:rPr>
                <w:b/>
              </w:rPr>
            </w:pPr>
            <w:r>
              <w:rPr>
                <w:b/>
              </w:rPr>
              <w:t>(d)</w:t>
            </w:r>
          </w:p>
        </w:tc>
        <w:tc>
          <w:tcPr>
            <w:tcW w:w="60" w:type="dxa"/>
            <w:tcBorders/>
            <w:tcMar>
              <w:bottom w:w="0" w:type="dxa"/>
            </w:tcMar>
            <w:vAlign w:val="center"/>
          </w:tcPr>
          <w:p>
            <w:pPr>
              <w:pStyle w:val="TableContents"/>
              <w:bidi w:val="0"/>
              <w:spacing w:before="0" w:after="283"/>
              <w:jc w:val="left"/>
              <w:rPr/>
            </w:pPr>
            <w:r>
              <w:rPr/>
              <w:t> </w:t>
            </w:r>
          </w:p>
        </w:tc>
        <w:tc>
          <w:tcPr>
            <w:tcW w:w="892" w:type="dxa"/>
            <w:gridSpan w:val="2"/>
            <w:tcBorders>
              <w:bottom w:val="single" w:sz="8" w:space="0" w:color="000000"/>
            </w:tcBorders>
            <w:vAlign w:val="center"/>
          </w:tcPr>
          <w:p>
            <w:pPr>
              <w:pStyle w:val="TableContents"/>
              <w:bidi w:val="0"/>
              <w:spacing w:before="0" w:after="283"/>
              <w:jc w:val="center"/>
              <w:rPr>
                <w:b/>
              </w:rPr>
            </w:pPr>
            <w:r>
              <w:rPr>
                <w:b/>
              </w:rP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1" w:type="dxa"/>
            <w:tcBorders>
              <w:bottom w:val="single" w:sz="8" w:space="0" w:color="000000"/>
            </w:tcBorders>
            <w:vAlign w:val="center"/>
          </w:tcPr>
          <w:p>
            <w:pPr>
              <w:pStyle w:val="TableContents"/>
              <w:bidi w:val="0"/>
              <w:spacing w:before="0" w:after="283"/>
              <w:jc w:val="center"/>
              <w:rPr>
                <w:b/>
              </w:rPr>
            </w:pPr>
            <w:r>
              <w:rPr>
                <w:b/>
              </w:rPr>
              <w:t>(f)</w:t>
            </w:r>
          </w:p>
        </w:tc>
        <w:tc>
          <w:tcPr>
            <w:tcW w:w="60" w:type="dxa"/>
            <w:tcBorders/>
            <w:tcMar>
              <w:bottom w:w="0" w:type="dxa"/>
            </w:tcMar>
            <w:vAlign w:val="center"/>
          </w:tcPr>
          <w:p>
            <w:pPr>
              <w:pStyle w:val="TableContents"/>
              <w:bidi w:val="0"/>
              <w:spacing w:before="0" w:after="283"/>
              <w:jc w:val="left"/>
              <w:rPr/>
            </w:pPr>
            <w:r>
              <w:rPr/>
              <w:t> </w:t>
            </w:r>
          </w:p>
        </w:tc>
        <w:tc>
          <w:tcPr>
            <w:tcW w:w="1305" w:type="dxa"/>
            <w:gridSpan w:val="2"/>
            <w:tcBorders>
              <w:bottom w:val="single" w:sz="8" w:space="0" w:color="000000"/>
            </w:tcBorders>
            <w:vAlign w:val="center"/>
          </w:tcPr>
          <w:p>
            <w:pPr>
              <w:pStyle w:val="TableContents"/>
              <w:bidi w:val="0"/>
              <w:spacing w:before="0" w:after="283"/>
              <w:jc w:val="center"/>
              <w:rPr>
                <w:b/>
              </w:rPr>
            </w:pPr>
            <w:r>
              <w:rPr>
                <w:b/>
              </w:rPr>
              <w:t>(g)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2" w:type="dxa"/>
            <w:gridSpan w:val="2"/>
            <w:tcBorders>
              <w:bottom w:val="single" w:sz="8" w:space="0" w:color="000000"/>
            </w:tcBorders>
            <w:vAlign w:val="center"/>
          </w:tcPr>
          <w:p>
            <w:pPr>
              <w:pStyle w:val="TableContents"/>
              <w:bidi w:val="0"/>
              <w:spacing w:before="0" w:after="283"/>
              <w:jc w:val="center"/>
              <w:rPr>
                <w:b/>
              </w:rPr>
            </w:pPr>
            <w:r>
              <w:rPr>
                <w:b/>
              </w:rPr>
              <w:t>($)(h)</w:t>
            </w:r>
          </w:p>
        </w:tc>
        <w:tc>
          <w:tcPr>
            <w:tcW w:w="82" w:type="dxa"/>
            <w:tcBorders/>
            <w:tcMar>
              <w:bottom w:w="0" w:type="dxa"/>
            </w:tcMar>
            <w:vAlign w:val="center"/>
          </w:tcPr>
          <w:p>
            <w:pPr>
              <w:pStyle w:val="TableContents"/>
              <w:bidi w:val="0"/>
              <w:spacing w:before="0" w:after="283"/>
              <w:jc w:val="left"/>
              <w:rPr/>
            </w:pPr>
            <w:r>
              <w:rPr/>
              <w:t> </w:t>
            </w:r>
          </w:p>
        </w:tc>
      </w:tr>
      <w:tr>
        <w:trPr/>
        <w:tc>
          <w:tcPr>
            <w:tcW w:w="653" w:type="dxa"/>
            <w:tcBorders/>
            <w:shd w:fill="CCEEFF" w:val="clear"/>
            <w:tcMar>
              <w:bottom w:w="0" w:type="dxa"/>
            </w:tcMar>
            <w:vAlign w:val="center"/>
          </w:tcPr>
          <w:p>
            <w:pPr>
              <w:pStyle w:val="TableContents"/>
              <w:bidi w:val="0"/>
              <w:spacing w:before="0" w:after="283"/>
              <w:jc w:val="left"/>
              <w:rPr/>
            </w:pPr>
            <w:r>
              <w:rPr/>
              <w:t>Sumit Kapur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283"/>
              <w:jc w:val="right"/>
              <w:rPr/>
            </w:pPr>
            <w:r>
              <w:rPr/>
              <w:t>259,813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8" w:type="dxa"/>
            <w:tcBorders/>
            <w:shd w:fill="CCEEFF" w:val="clear"/>
            <w:tcMar>
              <w:bottom w:w="0" w:type="dxa"/>
            </w:tcMar>
            <w:vAlign w:val="center"/>
          </w:tcPr>
          <w:p>
            <w:pPr>
              <w:pStyle w:val="TableContents"/>
              <w:bidi w:val="0"/>
              <w:spacing w:before="0" w:after="283"/>
              <w:jc w:val="right"/>
              <w:rPr/>
            </w:pPr>
            <w:r>
              <w:rPr/>
              <w:t>340,187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center"/>
              <w:rPr/>
            </w:pPr>
            <w:r>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77" w:type="dxa"/>
            <w:tcBorders/>
            <w:shd w:fill="CCEEFF" w:val="clear"/>
            <w:tcMar>
              <w:bottom w:w="0" w:type="dxa"/>
            </w:tcMar>
            <w:vAlign w:val="center"/>
          </w:tcPr>
          <w:p>
            <w:pPr>
              <w:pStyle w:val="TableContents"/>
              <w:bidi w:val="0"/>
              <w:spacing w:before="0" w:after="283"/>
              <w:jc w:val="right"/>
              <w:rPr/>
            </w:pPr>
            <w:r>
              <w:rPr/>
              <w:t>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5/8/2034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6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202" w:type="dxa"/>
            <w:tcBorders/>
            <w:shd w:fill="FFFFFF" w:val="clear"/>
            <w:tcMar>
              <w:bottom w:w="0" w:type="dxa"/>
            </w:tcMar>
            <w:vAlign w:val="center"/>
          </w:tcPr>
          <w:p>
            <w:pPr>
              <w:pStyle w:val="TableContents"/>
              <w:bidi w:val="0"/>
              <w:spacing w:before="0" w:after="283"/>
              <w:jc w:val="right"/>
              <w:rPr/>
            </w:pPr>
            <w:r>
              <w:rPr/>
              <w:t>83,333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8" w:type="dxa"/>
            <w:tcBorders/>
            <w:shd w:fill="FFFFFF" w:val="clear"/>
            <w:tcMar>
              <w:bottom w:w="0" w:type="dxa"/>
            </w:tcMar>
            <w:vAlign w:val="center"/>
          </w:tcPr>
          <w:p>
            <w:pPr>
              <w:pStyle w:val="TableContents"/>
              <w:bidi w:val="0"/>
              <w:spacing w:before="0" w:after="283"/>
              <w:jc w:val="right"/>
              <w:rPr/>
            </w:pPr>
            <w:r>
              <w:rPr/>
              <w:t>916,667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1" w:type="dxa"/>
            <w:tcBorders/>
            <w:shd w:fill="FFFFFF" w:val="clear"/>
            <w:tcMar>
              <w:bottom w:w="0" w:type="dxa"/>
            </w:tcMar>
            <w:vAlign w:val="center"/>
          </w:tcPr>
          <w:p>
            <w:pPr>
              <w:pStyle w:val="TableContents"/>
              <w:bidi w:val="0"/>
              <w:spacing w:before="0" w:after="283"/>
              <w:jc w:val="center"/>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77" w:type="dxa"/>
            <w:tcBorders/>
            <w:shd w:fill="FFFFFF" w:val="clear"/>
            <w:tcMar>
              <w:bottom w:w="0" w:type="dxa"/>
            </w:tcMar>
            <w:vAlign w:val="center"/>
          </w:tcPr>
          <w:p>
            <w:pPr>
              <w:pStyle w:val="TableContents"/>
              <w:bidi w:val="0"/>
              <w:spacing w:before="0" w:after="283"/>
              <w:jc w:val="right"/>
              <w:rPr/>
            </w:pPr>
            <w:r>
              <w:rPr/>
              <w:t>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10/9/2035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6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283"/>
              <w:jc w:val="right"/>
              <w:rPr/>
            </w:pPr>
            <w:r>
              <w:rPr/>
              <w:t>208,333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8" w:type="dxa"/>
            <w:tcBorders/>
            <w:shd w:fill="CCEEFF" w:val="clear"/>
            <w:tcMar>
              <w:bottom w:w="0" w:type="dxa"/>
            </w:tcMar>
            <w:vAlign w:val="center"/>
          </w:tcPr>
          <w:p>
            <w:pPr>
              <w:pStyle w:val="TableContents"/>
              <w:bidi w:val="0"/>
              <w:spacing w:before="0" w:after="283"/>
              <w:jc w:val="right"/>
              <w:rPr/>
            </w:pPr>
            <w:r>
              <w:rPr/>
              <w:t>4,791,667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center"/>
              <w:rPr/>
            </w:pPr>
            <w:r>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77" w:type="dxa"/>
            <w:tcBorders/>
            <w:shd w:fill="CCEEFF" w:val="clear"/>
            <w:tcMar>
              <w:bottom w:w="0" w:type="dxa"/>
            </w:tcMar>
            <w:vAlign w:val="center"/>
          </w:tcPr>
          <w:p>
            <w:pPr>
              <w:pStyle w:val="TableContents"/>
              <w:bidi w:val="0"/>
              <w:spacing w:before="0" w:after="283"/>
              <w:jc w:val="right"/>
              <w:rPr/>
            </w:pPr>
            <w:r>
              <w:rPr/>
              <w:t>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10/9/2035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6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202"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8"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1" w:type="dxa"/>
            <w:tcBorders/>
            <w:shd w:fill="FFFFFF" w:val="clear"/>
            <w:tcMar>
              <w:bottom w:w="0" w:type="dxa"/>
            </w:tcMar>
            <w:vAlign w:val="center"/>
          </w:tcPr>
          <w:p>
            <w:pPr>
              <w:pStyle w:val="TableContents"/>
              <w:bidi w:val="0"/>
              <w:spacing w:before="0" w:after="283"/>
              <w:jc w:val="center"/>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77"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24,375,000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pPr>
            <w:r>
              <w:rPr/>
              <w:t>38,512,500</w:t>
            </w:r>
          </w:p>
        </w:tc>
        <w:tc>
          <w:tcPr>
            <w:tcW w:w="8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31, 2025, non-employee members of our Board were compensated for as follows:</w:t>
      </w:r>
    </w:p>
    <w:p>
      <w:pPr>
        <w:pStyle w:val="TextBody"/>
        <w:bidi w:val="0"/>
        <w:spacing w:before="0" w:after="0"/>
        <w:ind w:left="0" w:right="0" w:hanging="0"/>
        <w:jc w:val="left"/>
        <w:rPr>
          <w:caps w:val="false"/>
          <w:smallCaps w:val="false"/>
        </w:rPr>
      </w:pPr>
      <w:r>
        <w:rPr>
          <w:caps w:val="false"/>
          <w:smallCaps w:val="false"/>
        </w:rPr>
        <w:t> </w:t>
      </w:r>
    </w:p>
    <w:tbl>
      <w:tblPr>
        <w:tblW w:w="7822" w:type="dxa"/>
        <w:jc w:val="left"/>
        <w:tblInd w:w="0" w:type="dxa"/>
        <w:tblLayout w:type="fixed"/>
        <w:tblCellMar>
          <w:top w:w="0" w:type="dxa"/>
          <w:left w:w="0" w:type="dxa"/>
          <w:bottom w:w="28" w:type="dxa"/>
          <w:right w:w="0" w:type="dxa"/>
        </w:tblCellMar>
      </w:tblPr>
      <w:tblGrid>
        <w:gridCol w:w="2330"/>
        <w:gridCol w:w="60"/>
        <w:gridCol w:w="91"/>
        <w:gridCol w:w="1218"/>
        <w:gridCol w:w="60"/>
        <w:gridCol w:w="60"/>
        <w:gridCol w:w="95"/>
        <w:gridCol w:w="1079"/>
        <w:gridCol w:w="60"/>
        <w:gridCol w:w="60"/>
        <w:gridCol w:w="133"/>
        <w:gridCol w:w="1521"/>
        <w:gridCol w:w="60"/>
        <w:gridCol w:w="60"/>
        <w:gridCol w:w="60"/>
        <w:gridCol w:w="800"/>
        <w:gridCol w:w="75"/>
      </w:tblGrid>
      <w:tr>
        <w:trPr/>
        <w:tc>
          <w:tcPr>
            <w:tcW w:w="2330" w:type="dxa"/>
            <w:tcBorders>
              <w:bottom w:val="single" w:sz="8" w:space="0" w:color="000000"/>
            </w:tcBorders>
            <w:vAlign w:val="center"/>
          </w:tcPr>
          <w:p>
            <w:pPr>
              <w:pStyle w:val="TableContents"/>
              <w:bidi w:val="0"/>
              <w:spacing w:before="0" w:after="283"/>
              <w:jc w:val="left"/>
              <w:rPr>
                <w:b/>
              </w:rPr>
            </w:pPr>
            <w:r>
              <w:rPr>
                <w:b/>
              </w:rPr>
              <w:t>Name</w:t>
              <w:br/>
              <w:t>(a)</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 Cash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8" w:space="0" w:color="000000"/>
            </w:tcBorders>
            <w:vAlign w:val="center"/>
          </w:tcPr>
          <w:p>
            <w:pPr>
              <w:pStyle w:val="TableContents"/>
              <w:bidi w:val="0"/>
              <w:spacing w:before="0" w:after="283"/>
              <w:jc w:val="center"/>
              <w:rPr>
                <w:b/>
              </w:rPr>
            </w:pPr>
            <w:r>
              <w:rPr>
                <w:b/>
              </w:rPr>
              <w:t xml:space="preserve">Option Awards </w:t>
              <w:br/>
              <w:t>($)(d)(1)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7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Clark Golestani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right"/>
              <w:rPr/>
            </w:pPr>
            <w:r>
              <w:rPr/>
              <w:t>110,000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87,251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210,251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left"/>
              <w:rPr/>
            </w:pPr>
            <w:r>
              <w:rPr/>
              <w:t>William E. Klitgaard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right"/>
              <w:rPr/>
            </w:pPr>
            <w:r>
              <w:rPr/>
              <w:t>36,250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pPr>
            <w:r>
              <w:rPr/>
              <w:t>74,380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110,630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sz w:val="20"/>
              </w:rPr>
            </w:pPr>
            <w:r>
              <w:rPr>
                <w:sz w:val="20"/>
              </w:rPr>
              <w:t>(1)</w:t>
            </w:r>
          </w:p>
        </w:tc>
        <w:tc>
          <w:tcPr>
            <w:tcW w:w="9939" w:type="dxa"/>
            <w:tcBorders/>
            <w:vAlign w:val="center"/>
          </w:tcPr>
          <w:p>
            <w:pPr>
              <w:pStyle w:val="TableContents"/>
              <w:bidi w:val="0"/>
              <w:spacing w:before="0" w:after="283"/>
              <w:jc w:val="both"/>
              <w:rPr>
                <w:sz w:val="20"/>
              </w:rPr>
            </w:pPr>
            <w:r>
              <w:rPr>
                <w:sz w:val="20"/>
              </w:rPr>
              <w:t>Amounts reported represent the aggregate grant date fair value of awards granted without regards to forfeitures granted to the independent members of our Board during the fiscal year ended December 31, 2025, computed in accordance with ASC 718. This amount does not reflect the actual economic value realized by the director.</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sz w:val="20"/>
              </w:rPr>
            </w:pPr>
            <w:r>
              <w:rPr>
                <w:sz w:val="20"/>
              </w:rPr>
              <w:t>(2)</w:t>
            </w:r>
          </w:p>
        </w:tc>
        <w:tc>
          <w:tcPr>
            <w:tcW w:w="9939" w:type="dxa"/>
            <w:tcBorders/>
            <w:vAlign w:val="center"/>
          </w:tcPr>
          <w:p>
            <w:pPr>
              <w:pStyle w:val="TableContents"/>
              <w:bidi w:val="0"/>
              <w:spacing w:before="0" w:after="283"/>
              <w:jc w:val="both"/>
              <w:rPr>
                <w:sz w:val="20"/>
              </w:rPr>
            </w:pPr>
            <w:r>
              <w:rPr>
                <w:sz w:val="20"/>
              </w:rPr>
              <w:t>Mr. Golestani’s 2025 compensation consisted of: (i) a grant of 32,500,000 shares of restricted Common Stock, vesting in equal monthly increments over a two year period, subject to Mr. Golestani’s continued service to the Company as of each applicable vesting date, (2) a grant of 1,000,000 five-year stock options with an exercise price of $0.08, vesting in equal monthly increments over a two-year period, subject to Mr. Golestani’s continued service to the Company as of each applicable vesting date, and (ii) cash compensation of $110,000 for services as director.</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sz w:val="20"/>
              </w:rPr>
            </w:pPr>
            <w:r>
              <w:rPr>
                <w:sz w:val="20"/>
              </w:rPr>
              <w:t>(3)</w:t>
            </w:r>
          </w:p>
        </w:tc>
        <w:tc>
          <w:tcPr>
            <w:tcW w:w="9939" w:type="dxa"/>
            <w:tcBorders/>
            <w:vAlign w:val="center"/>
          </w:tcPr>
          <w:p>
            <w:pPr>
              <w:pStyle w:val="TableContents"/>
              <w:bidi w:val="0"/>
              <w:spacing w:before="0" w:after="283"/>
              <w:jc w:val="both"/>
              <w:rPr>
                <w:sz w:val="20"/>
              </w:rPr>
            </w:pPr>
            <w:r>
              <w:rPr>
                <w:sz w:val="20"/>
              </w:rPr>
              <w:t>On October 7, 2025, the Company appointed Mr. William Klitgaard to the Board and named him to Audit Committee. Mr. Klitgaard’s 2025 compensation consisted of: (i) a grant of 1,000,000 five-year stock options, vesting in equal monthly increments over a two-year period, subject to continued services to the Company as of each applicable vesting date, with an exercise price of $0.08, (ii) cash compensation of $100,000 per year (prorated for 2025) for services as director, (iii) additional cash compensation of $25,000 per year (prorated for 2025) for services as a chair of the Audit Committee of the Company, (iv) additional cash compensation of $10,000 per year (prorated for 2025) for services as member of the Compensation Committee of the Company, and (v) additional cash compensation of $10,000 per year (prorated for 2025) for services as member of the Corporate Governance Committee of the Company, with all cash grants subject to Mr. Klitgaard’s continued service to the Company as of each applicable payment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resolutions adopted by the Board, non-employee directors are entitled to the following cash fees: (i) $100,000 for services as a director, (ii) $45,000 for services as Lead Independent Director/Chairman of the Board, (iii) $25,000 per committee chair position, and (iv) $10,000 per non-chair committee membership, provided that annual cash compensation for each non-employee director of the Company shall not exceed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unexercised options held by each of our non-employee directors outstanding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5"/>
        <w:gridCol w:w="60"/>
        <w:gridCol w:w="465"/>
        <w:gridCol w:w="7689"/>
        <w:gridCol w:w="76"/>
      </w:tblGrid>
      <w:tr>
        <w:trPr/>
        <w:tc>
          <w:tcPr>
            <w:tcW w:w="191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8154" w:type="dxa"/>
            <w:gridSpan w:val="2"/>
            <w:tcBorders>
              <w:bottom w:val="single" w:sz="8" w:space="0" w:color="000000"/>
            </w:tcBorders>
            <w:vAlign w:val="center"/>
          </w:tcPr>
          <w:p>
            <w:pPr>
              <w:pStyle w:val="TableContents"/>
              <w:bidi w:val="0"/>
              <w:spacing w:before="0" w:after="283"/>
              <w:jc w:val="center"/>
              <w:rPr>
                <w:b/>
              </w:rPr>
            </w:pPr>
            <w:r>
              <w:rPr>
                <w:b/>
              </w:rPr>
              <w:t>Aggregate Number of Unexercised Option Awards Outstanding at December 31, 2025</w:t>
            </w:r>
          </w:p>
        </w:tc>
        <w:tc>
          <w:tcPr>
            <w:tcW w:w="76" w:type="dxa"/>
            <w:tcBorders/>
            <w:tcMar>
              <w:bottom w:w="0" w:type="dxa"/>
            </w:tcMar>
            <w:vAlign w:val="center"/>
          </w:tcPr>
          <w:p>
            <w:pPr>
              <w:pStyle w:val="TableContents"/>
              <w:bidi w:val="0"/>
              <w:spacing w:before="0" w:after="283"/>
              <w:jc w:val="left"/>
              <w:rPr/>
            </w:pPr>
            <w:r>
              <w:rPr/>
              <w:t> </w:t>
            </w:r>
          </w:p>
        </w:tc>
      </w:tr>
      <w:tr>
        <w:trPr/>
        <w:tc>
          <w:tcPr>
            <w:tcW w:w="1915" w:type="dxa"/>
            <w:tcBorders/>
            <w:shd w:fill="CCEEFF" w:val="clear"/>
            <w:tcMar>
              <w:bottom w:w="0" w:type="dxa"/>
            </w:tcMar>
            <w:vAlign w:val="center"/>
          </w:tcPr>
          <w:p>
            <w:pPr>
              <w:pStyle w:val="TableContents"/>
              <w:bidi w:val="0"/>
              <w:spacing w:before="0" w:after="283"/>
              <w:jc w:val="left"/>
              <w:rPr/>
            </w:pPr>
            <w:r>
              <w:rPr/>
              <w:t>Clark Golestani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 w:type="dxa"/>
            <w:tcBorders/>
            <w:shd w:fill="CCEEFF" w:val="clear"/>
            <w:tcMar>
              <w:bottom w:w="0" w:type="dxa"/>
            </w:tcMar>
            <w:vAlign w:val="center"/>
          </w:tcPr>
          <w:p>
            <w:pPr>
              <w:pStyle w:val="TableContents"/>
              <w:bidi w:val="0"/>
              <w:spacing w:before="0" w:after="283"/>
              <w:jc w:val="left"/>
              <w:rPr/>
            </w:pPr>
            <w:r>
              <w:rPr/>
              <w:t> </w:t>
            </w:r>
          </w:p>
        </w:tc>
        <w:tc>
          <w:tcPr>
            <w:tcW w:w="7689" w:type="dxa"/>
            <w:tcBorders/>
            <w:shd w:fill="CCEEFF" w:val="clear"/>
            <w:tcMar>
              <w:bottom w:w="0" w:type="dxa"/>
            </w:tcMar>
            <w:vAlign w:val="center"/>
          </w:tcPr>
          <w:p>
            <w:pPr>
              <w:pStyle w:val="TableContents"/>
              <w:bidi w:val="0"/>
              <w:spacing w:before="0" w:after="283"/>
              <w:jc w:val="right"/>
              <w:rPr/>
            </w:pPr>
            <w:r>
              <w:rPr/>
              <w:t>1,000,000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1915" w:type="dxa"/>
            <w:tcBorders/>
            <w:shd w:fill="FFFFFF" w:val="clear"/>
            <w:tcMar>
              <w:bottom w:w="0" w:type="dxa"/>
            </w:tcMar>
            <w:vAlign w:val="center"/>
          </w:tcPr>
          <w:p>
            <w:pPr>
              <w:pStyle w:val="TableContents"/>
              <w:bidi w:val="0"/>
              <w:spacing w:before="0" w:after="283"/>
              <w:jc w:val="left"/>
              <w:rPr/>
            </w:pPr>
            <w:r>
              <w:rPr/>
              <w:t>William E. Klitgaard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5" w:type="dxa"/>
            <w:tcBorders/>
            <w:shd w:fill="FFFFFF" w:val="clear"/>
            <w:tcMar>
              <w:bottom w:w="0" w:type="dxa"/>
            </w:tcMar>
            <w:vAlign w:val="center"/>
          </w:tcPr>
          <w:p>
            <w:pPr>
              <w:pStyle w:val="TableContents"/>
              <w:bidi w:val="0"/>
              <w:spacing w:before="0" w:after="283"/>
              <w:jc w:val="left"/>
              <w:rPr/>
            </w:pPr>
            <w:r>
              <w:rPr/>
              <w:t> </w:t>
            </w:r>
          </w:p>
        </w:tc>
        <w:tc>
          <w:tcPr>
            <w:tcW w:w="7689" w:type="dxa"/>
            <w:tcBorders/>
            <w:shd w:fill="FFFFFF" w:val="clear"/>
            <w:tcMar>
              <w:bottom w:w="0" w:type="dxa"/>
            </w:tcMar>
            <w:vAlign w:val="center"/>
          </w:tcPr>
          <w:p>
            <w:pPr>
              <w:pStyle w:val="TableContents"/>
              <w:bidi w:val="0"/>
              <w:spacing w:before="0" w:after="283"/>
              <w:jc w:val="right"/>
              <w:rPr/>
            </w:pPr>
            <w:r>
              <w:rPr/>
              <w:t>1,000,000</w:t>
            </w:r>
          </w:p>
        </w:tc>
        <w:tc>
          <w:tcPr>
            <w:tcW w:w="7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about the Equity Compensation Plan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69"/>
        <w:gridCol w:w="60"/>
        <w:gridCol w:w="98"/>
        <w:gridCol w:w="1803"/>
        <w:gridCol w:w="60"/>
        <w:gridCol w:w="60"/>
        <w:gridCol w:w="166"/>
        <w:gridCol w:w="1225"/>
        <w:gridCol w:w="60"/>
        <w:gridCol w:w="60"/>
        <w:gridCol w:w="181"/>
        <w:gridCol w:w="2984"/>
        <w:gridCol w:w="79"/>
      </w:tblGrid>
      <w:tr>
        <w:trPr/>
        <w:tc>
          <w:tcPr>
            <w:tcW w:w="3369" w:type="dxa"/>
            <w:tcBorders>
              <w:bottom w:val="single" w:sz="8"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1901"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upon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1"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available for future issuance under equity compensation</w:t>
            </w:r>
            <w:r>
              <w:rPr>
                <w:rFonts w:ascii="Times New Roman;Times;Serif" w:hAnsi="Times New Roman;Times;Serif"/>
                <w:b w:val="false"/>
                <w:i w:val="false"/>
                <w:caps w:val="false"/>
                <w:smallCaps w:val="false"/>
                <w:sz w:val="20"/>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(excluding 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 column (a))</w:t>
            </w:r>
          </w:p>
        </w:tc>
        <w:tc>
          <w:tcPr>
            <w:tcW w:w="79" w:type="dxa"/>
            <w:tcBorders/>
            <w:tcMar>
              <w:bottom w:w="0" w:type="dxa"/>
            </w:tcMar>
            <w:vAlign w:val="center"/>
          </w:tcPr>
          <w:p>
            <w:pPr>
              <w:pStyle w:val="TableContents"/>
              <w:bidi w:val="0"/>
              <w:spacing w:before="0" w:after="283"/>
              <w:jc w:val="left"/>
              <w:rPr/>
            </w:pPr>
            <w:r>
              <w:rPr/>
              <w:t> </w:t>
            </w:r>
          </w:p>
        </w:tc>
      </w:tr>
      <w:tr>
        <w:trPr/>
        <w:tc>
          <w:tcPr>
            <w:tcW w:w="33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1" w:type="dxa"/>
            <w:gridSpan w:val="2"/>
            <w:tcBorders/>
            <w:tcMar>
              <w:bottom w:w="0" w:type="dxa"/>
            </w:tcMar>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1" w:type="dxa"/>
            <w:gridSpan w:val="2"/>
            <w:tcBorders/>
            <w:tcMar>
              <w:bottom w:w="0" w:type="dxa"/>
            </w:tcMar>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65" w:type="dxa"/>
            <w:gridSpan w:val="2"/>
            <w:tcBorders/>
            <w:tcMar>
              <w:bottom w:w="0" w:type="dxa"/>
            </w:tcMar>
            <w:vAlign w:val="center"/>
          </w:tcPr>
          <w:p>
            <w:pPr>
              <w:pStyle w:val="TableContents"/>
              <w:bidi w:val="0"/>
              <w:spacing w:before="0" w:after="283"/>
              <w:jc w:val="center"/>
              <w:rPr>
                <w:b/>
              </w:rPr>
            </w:pPr>
            <w:r>
              <w:rPr>
                <w:b/>
              </w:rPr>
              <w:t>(c)</w:t>
            </w:r>
          </w:p>
        </w:tc>
        <w:tc>
          <w:tcPr>
            <w:tcW w:w="79" w:type="dxa"/>
            <w:tcBorders/>
            <w:tcMar>
              <w:bottom w:w="0" w:type="dxa"/>
            </w:tcMar>
            <w:vAlign w:val="center"/>
          </w:tcPr>
          <w:p>
            <w:pPr>
              <w:pStyle w:val="TableContents"/>
              <w:bidi w:val="0"/>
              <w:spacing w:before="0" w:after="283"/>
              <w:jc w:val="left"/>
              <w:rPr/>
            </w:pPr>
            <w:r>
              <w:rPr/>
              <w:t> </w:t>
            </w:r>
          </w:p>
        </w:tc>
      </w:tr>
      <w:tr>
        <w:trPr/>
        <w:tc>
          <w:tcPr>
            <w:tcW w:w="3369" w:type="dxa"/>
            <w:tcBorders/>
            <w:shd w:fill="CCEEFF" w:val="clear"/>
            <w:tcMar>
              <w:bottom w:w="0" w:type="dxa"/>
            </w:tcMar>
            <w:vAlign w:val="center"/>
          </w:tcPr>
          <w:p>
            <w:pPr>
              <w:pStyle w:val="TableContents"/>
              <w:bidi w:val="0"/>
              <w:spacing w:before="0" w:after="283"/>
              <w:jc w:val="left"/>
              <w:rPr/>
            </w:pPr>
            <w:r>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03" w:type="dxa"/>
            <w:tcBorders/>
            <w:shd w:fill="CCEEFF" w:val="clear"/>
            <w:tcMar>
              <w:bottom w:w="0" w:type="dxa"/>
            </w:tcMar>
            <w:vAlign w:val="center"/>
          </w:tcPr>
          <w:p>
            <w:pPr>
              <w:pStyle w:val="TableContents"/>
              <w:bidi w:val="0"/>
              <w:spacing w:before="0" w:after="283"/>
              <w:jc w:val="right"/>
              <w:rPr/>
            </w:pPr>
            <w:r>
              <w:rPr/>
              <w:t>39,003,451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984" w:type="dxa"/>
            <w:tcBorders/>
            <w:shd w:fill="CCEEFF" w:val="clear"/>
            <w:tcMar>
              <w:bottom w:w="0" w:type="dxa"/>
            </w:tcMar>
            <w:vAlign w:val="center"/>
          </w:tcPr>
          <w:p>
            <w:pPr>
              <w:pStyle w:val="TableContents"/>
              <w:bidi w:val="0"/>
              <w:spacing w:before="0" w:after="283"/>
              <w:jc w:val="right"/>
              <w:rPr/>
            </w:pPr>
            <w:r>
              <w:rPr/>
              <w:t>1,895,000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369" w:type="dxa"/>
            <w:tcBorders/>
            <w:shd w:fill="FFFFFF" w:val="clear"/>
            <w:tcMar>
              <w:bottom w:w="0" w:type="dxa"/>
            </w:tcMar>
            <w:vAlign w:val="center"/>
          </w:tcPr>
          <w:p>
            <w:pPr>
              <w:pStyle w:val="TableContents"/>
              <w:bidi w:val="0"/>
              <w:spacing w:before="0" w:after="283"/>
              <w:jc w:val="left"/>
              <w:rPr/>
            </w:pPr>
            <w:r>
              <w:rPr/>
              <w:t>Equity compensation not approved by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8" w:space="0" w:color="000000"/>
            </w:tcBorders>
            <w:shd w:fill="FFFFFF" w:val="clear"/>
            <w:vAlign w:val="center"/>
          </w:tcPr>
          <w:p>
            <w:pPr>
              <w:pStyle w:val="TableContents"/>
              <w:bidi w:val="0"/>
              <w:spacing w:before="0" w:after="283"/>
              <w:jc w:val="left"/>
              <w:rPr/>
            </w:pPr>
            <w:r>
              <w:rPr/>
              <w:t> </w:t>
            </w:r>
          </w:p>
        </w:tc>
        <w:tc>
          <w:tcPr>
            <w:tcW w:w="180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bottom w:val="single" w:sz="8" w:space="0" w:color="000000"/>
            </w:tcBorders>
            <w:shd w:fill="FFFFFF" w:val="clear"/>
            <w:vAlign w:val="center"/>
          </w:tcPr>
          <w:p>
            <w:pPr>
              <w:pStyle w:val="TableContents"/>
              <w:bidi w:val="0"/>
              <w:spacing w:before="0" w:after="283"/>
              <w:jc w:val="left"/>
              <w:rPr/>
            </w:pPr>
            <w:r>
              <w:rPr/>
              <w:t> </w:t>
            </w:r>
          </w:p>
        </w:tc>
        <w:tc>
          <w:tcPr>
            <w:tcW w:w="122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2984"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369"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double" w:sz="6" w:space="0" w:color="000000"/>
            </w:tcBorders>
            <w:shd w:fill="CCEEFF" w:val="clear"/>
            <w:vAlign w:val="center"/>
          </w:tcPr>
          <w:p>
            <w:pPr>
              <w:pStyle w:val="TableContents"/>
              <w:bidi w:val="0"/>
              <w:spacing w:before="0" w:after="283"/>
              <w:jc w:val="left"/>
              <w:rPr/>
            </w:pPr>
            <w:r>
              <w:rPr/>
              <w:t> </w:t>
            </w:r>
          </w:p>
        </w:tc>
        <w:tc>
          <w:tcPr>
            <w:tcW w:w="1803" w:type="dxa"/>
            <w:tcBorders>
              <w:bottom w:val="double" w:sz="6" w:space="0" w:color="000000"/>
            </w:tcBorders>
            <w:shd w:fill="CCEEFF" w:val="clear"/>
            <w:vAlign w:val="center"/>
          </w:tcPr>
          <w:p>
            <w:pPr>
              <w:pStyle w:val="TableContents"/>
              <w:bidi w:val="0"/>
              <w:spacing w:before="0" w:after="283"/>
              <w:jc w:val="right"/>
              <w:rPr/>
            </w:pPr>
            <w:r>
              <w:rPr/>
              <w:t>39,003,451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vAlign w:val="center"/>
          </w:tcPr>
          <w:p>
            <w:pPr>
              <w:pStyle w:val="TableContents"/>
              <w:bidi w:val="0"/>
              <w:spacing w:before="0" w:after="283"/>
              <w:jc w:val="left"/>
              <w:rPr/>
            </w:pPr>
            <w:r>
              <w:rPr/>
              <w:t> </w:t>
            </w:r>
          </w:p>
        </w:tc>
        <w:tc>
          <w:tcPr>
            <w:tcW w:w="1225" w:type="dxa"/>
            <w:tcBorders>
              <w:bottom w:val="double" w:sz="6"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pPr>
            <w:r>
              <w:rPr/>
              <w:t> </w:t>
            </w:r>
          </w:p>
        </w:tc>
        <w:tc>
          <w:tcPr>
            <w:tcW w:w="2984" w:type="dxa"/>
            <w:tcBorders>
              <w:bottom w:val="double" w:sz="6" w:space="0" w:color="000000"/>
            </w:tcBorders>
            <w:shd w:fill="CCEEFF" w:val="clear"/>
            <w:vAlign w:val="center"/>
          </w:tcPr>
          <w:p>
            <w:pPr>
              <w:pStyle w:val="TableContents"/>
              <w:bidi w:val="0"/>
              <w:spacing w:before="0" w:after="283"/>
              <w:jc w:val="right"/>
              <w:rPr/>
            </w:pPr>
            <w:r>
              <w:rPr/>
              <w:t>1,895,000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1_017"/>
      <w:bookmarkEnd w:id="20"/>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our Common Stock beneficially owned as of May 31, 2026 by (i) our named executive officers, (ii) each director, (iii) those persons known by us to be owners of more than 5% of our Common Stock or Preferred Stock, as applicable, and (iv) all of our executive officers and directors as a group. Unless otherwise specified in the footnotes to this table, the address for each person is: c/o Zapata Quantum, Inc., 6 Liberty Square #2488, Boston, MA 02109.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85"/>
        <w:gridCol w:w="1987"/>
        <w:gridCol w:w="60"/>
        <w:gridCol w:w="105"/>
        <w:gridCol w:w="1460"/>
        <w:gridCol w:w="60"/>
        <w:gridCol w:w="60"/>
        <w:gridCol w:w="189"/>
        <w:gridCol w:w="1346"/>
        <w:gridCol w:w="60"/>
        <w:gridCol w:w="60"/>
        <w:gridCol w:w="107"/>
        <w:gridCol w:w="1481"/>
        <w:gridCol w:w="60"/>
        <w:gridCol w:w="60"/>
        <w:gridCol w:w="264"/>
        <w:gridCol w:w="1483"/>
        <w:gridCol w:w="78"/>
      </w:tblGrid>
      <w:tr>
        <w:trPr/>
        <w:tc>
          <w:tcPr>
            <w:tcW w:w="12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Title of Class of Stock</w:t>
            </w:r>
          </w:p>
        </w:tc>
        <w:tc>
          <w:tcPr>
            <w:tcW w:w="1987" w:type="dxa"/>
            <w:tcBorders>
              <w:bottom w:val="single" w:sz="8" w:space="0" w:color="000000"/>
            </w:tcBorders>
            <w:vAlign w:val="center"/>
          </w:tcPr>
          <w:p>
            <w:pPr>
              <w:pStyle w:val="TableContents"/>
              <w:bidi w:val="0"/>
              <w:spacing w:before="0" w:after="283"/>
              <w:jc w:val="left"/>
              <w:rPr>
                <w:b/>
                <w:sz w:val="16"/>
              </w:rPr>
            </w:pPr>
            <w:r>
              <w:rPr>
                <w:b/>
                <w:sz w:val="16"/>
              </w:rPr>
              <w:t>Beneficial Owner Name &amp; Address</w:t>
            </w:r>
          </w:p>
        </w:tc>
        <w:tc>
          <w:tcPr>
            <w:tcW w:w="60" w:type="dxa"/>
            <w:tcBorders/>
            <w:tcMar>
              <w:bottom w:w="0" w:type="dxa"/>
            </w:tcMar>
            <w:vAlign w:val="center"/>
          </w:tcPr>
          <w:p>
            <w:pPr>
              <w:pStyle w:val="TableContents"/>
              <w:bidi w:val="0"/>
              <w:spacing w:before="0" w:after="283"/>
              <w:jc w:val="left"/>
              <w:rPr/>
            </w:pPr>
            <w:r>
              <w:rPr/>
              <w:t> </w:t>
            </w:r>
          </w:p>
        </w:tc>
        <w:tc>
          <w:tcPr>
            <w:tcW w:w="1565" w:type="dxa"/>
            <w:gridSpan w:val="2"/>
            <w:tcBorders>
              <w:bottom w:val="single" w:sz="8" w:space="0" w:color="000000"/>
            </w:tcBorders>
            <w:vAlign w:val="center"/>
          </w:tcPr>
          <w:p>
            <w:pPr>
              <w:pStyle w:val="TableContents"/>
              <w:bidi w:val="0"/>
              <w:spacing w:before="0" w:after="283"/>
              <w:jc w:val="center"/>
              <w:rPr>
                <w:b/>
                <w:sz w:val="16"/>
              </w:rPr>
            </w:pPr>
            <w:r>
              <w:rPr>
                <w:b/>
                <w:sz w:val="16"/>
              </w:rPr>
              <w:t>Amount of Class of Stock Beneficially Owned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8" w:space="0" w:color="000000"/>
            </w:tcBorders>
            <w:vAlign w:val="center"/>
          </w:tcPr>
          <w:p>
            <w:pPr>
              <w:pStyle w:val="TableContents"/>
              <w:bidi w:val="0"/>
              <w:spacing w:before="0" w:after="283"/>
              <w:jc w:val="center"/>
              <w:rPr>
                <w:b/>
                <w:sz w:val="16"/>
              </w:rPr>
            </w:pPr>
            <w:r>
              <w:rPr>
                <w:b/>
                <w:sz w:val="16"/>
              </w:rPr>
              <w:t>Percent of Class of Stock Beneficially Owned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8" w:type="dxa"/>
            <w:gridSpan w:val="2"/>
            <w:tcBorders>
              <w:bottom w:val="single" w:sz="8" w:space="0" w:color="000000"/>
            </w:tcBorders>
            <w:vAlign w:val="center"/>
          </w:tcPr>
          <w:p>
            <w:pPr>
              <w:pStyle w:val="TableContents"/>
              <w:bidi w:val="0"/>
              <w:spacing w:before="0" w:after="283"/>
              <w:jc w:val="center"/>
              <w:rPr>
                <w:b/>
                <w:sz w:val="16"/>
              </w:rPr>
            </w:pPr>
            <w:r>
              <w:rPr>
                <w:b/>
                <w:sz w:val="16"/>
              </w:rPr>
              <w:t>Pro Forma Fully Diluted Beneficial Ownership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7" w:type="dxa"/>
            <w:gridSpan w:val="2"/>
            <w:tcBorders>
              <w:bottom w:val="single" w:sz="8" w:space="0" w:color="000000"/>
            </w:tcBorders>
            <w:vAlign w:val="center"/>
          </w:tcPr>
          <w:p>
            <w:pPr>
              <w:pStyle w:val="TableContents"/>
              <w:bidi w:val="0"/>
              <w:spacing w:before="0" w:after="283"/>
              <w:jc w:val="center"/>
              <w:rPr>
                <w:b/>
                <w:sz w:val="16"/>
              </w:rPr>
            </w:pPr>
            <w:r>
              <w:rPr>
                <w:b/>
                <w:sz w:val="16"/>
              </w:rPr>
              <w:t>Pro Forma Fully Diluted Percentage Beneficially Owned (2)</w:t>
            </w:r>
          </w:p>
        </w:tc>
        <w:tc>
          <w:tcPr>
            <w:tcW w:w="78" w:type="dxa"/>
            <w:tcBorders/>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left"/>
              <w:rPr/>
            </w:pPr>
            <w:r>
              <w:rPr/>
              <w:t> </w:t>
            </w:r>
          </w:p>
        </w:tc>
        <w:tc>
          <w:tcPr>
            <w:tcW w:w="1987" w:type="dxa"/>
            <w:tcBorders/>
            <w:shd w:fill="CCEEFF" w:val="clear"/>
            <w:tcMar>
              <w:bottom w:w="0" w:type="dxa"/>
            </w:tcMar>
            <w:vAlign w:val="center"/>
          </w:tcPr>
          <w:p>
            <w:pPr>
              <w:pStyle w:val="TableContents"/>
              <w:bidi w:val="0"/>
              <w:spacing w:before="0" w:after="283"/>
              <w:jc w:val="left"/>
              <w:rPr>
                <w:b/>
                <w:sz w:val="16"/>
              </w:rPr>
            </w:pPr>
            <w:r>
              <w:rPr>
                <w:b/>
                <w:sz w:val="16"/>
              </w:rPr>
              <w:t>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Sumit Kapur, Chief Executive Officer, Chief Financial Officer and Director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37,741,667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19.6%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42,850,000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9.9%</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Clark Golestani, Director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36,862,458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37,529,125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8.6%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William E. Klitgaard, Director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4,268,960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4,935,627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1.1%</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left"/>
              <w:rPr/>
            </w:pPr>
            <w:r>
              <w:rPr/>
              <w:t> </w:t>
            </w:r>
          </w:p>
        </w:tc>
        <w:tc>
          <w:tcPr>
            <w:tcW w:w="1987" w:type="dxa"/>
            <w:tcBorders/>
            <w:shd w:fill="CCEEFF" w:val="clear"/>
            <w:tcMar>
              <w:bottom w:w="0" w:type="dxa"/>
            </w:tcMar>
            <w:vAlign w:val="center"/>
          </w:tcPr>
          <w:p>
            <w:pPr>
              <w:pStyle w:val="TableContents"/>
              <w:bidi w:val="0"/>
              <w:spacing w:before="0" w:after="283"/>
              <w:jc w:val="left"/>
              <w:rPr>
                <w:b/>
                <w:sz w:val="16"/>
              </w:rPr>
            </w:pPr>
            <w:r>
              <w:rPr>
                <w:b/>
                <w:sz w:val="16"/>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78,873,085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39.34%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85,314,753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19.6%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left"/>
              <w:rPr/>
            </w:pPr>
            <w:r>
              <w:rPr/>
              <w:t> </w:t>
            </w:r>
          </w:p>
        </w:tc>
        <w:tc>
          <w:tcPr>
            <w:tcW w:w="19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left"/>
              <w:rPr/>
            </w:pPr>
            <w:r>
              <w:rPr/>
              <w:t> </w:t>
            </w:r>
          </w:p>
        </w:tc>
        <w:tc>
          <w:tcPr>
            <w:tcW w:w="1987" w:type="dxa"/>
            <w:tcBorders/>
            <w:shd w:fill="CCEEFF" w:val="clear"/>
            <w:tcMar>
              <w:bottom w:w="0" w:type="dxa"/>
            </w:tcMar>
            <w:vAlign w:val="center"/>
          </w:tcPr>
          <w:p>
            <w:pPr>
              <w:pStyle w:val="TableContents"/>
              <w:bidi w:val="0"/>
              <w:spacing w:before="0" w:after="283"/>
              <w:jc w:val="left"/>
              <w:rPr>
                <w:b/>
                <w:sz w:val="16"/>
              </w:rPr>
            </w:pPr>
            <w:r>
              <w:rPr>
                <w:b/>
                <w:sz w:val="16"/>
              </w:rPr>
              <w:t>5% beneficial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Andretti Autosport Holding Company LLC (6)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9,479,000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9,479,000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2.2%</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Nick Thakore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22,197,000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22,197,000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5.1%</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William J. Sandbrook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15,396,567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15,396,567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3.5%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Triatomic Capital Private I LP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18,750,000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23,617,912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5.4%</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Triatomic Capital Private I LP (9)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1,425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23,617,912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5.4%</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Namdar Family Holding LLC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3,250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22.0%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11,102,254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2.6%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Sohan Uppal (11)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Terra Property Trust, Inc.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3,416,078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Vaspen MS I, LLC (13)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Series C Convertible Preferred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Foley Hoag LLP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4,892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4,892,000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1.1%</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Series C Convertible Preferred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Paul, Weiss, Rifkind, Wharton &amp; Garrison LLP (15)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7,091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59.2%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7,091,000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1.6%</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Less than 1%.</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sz w:val="20"/>
              </w:rPr>
            </w:pPr>
            <w:r>
              <w:rPr>
                <w:sz w:val="20"/>
              </w:rPr>
              <w:t>(1)</w:t>
            </w:r>
          </w:p>
        </w:tc>
        <w:tc>
          <w:tcPr>
            <w:tcW w:w="10001" w:type="dxa"/>
            <w:tcBorders/>
            <w:vAlign w:val="center"/>
          </w:tcPr>
          <w:p>
            <w:pPr>
              <w:pStyle w:val="TableContents"/>
              <w:bidi w:val="0"/>
              <w:spacing w:before="0" w:after="283"/>
              <w:jc w:val="both"/>
              <w:rPr>
                <w:sz w:val="20"/>
              </w:rPr>
            </w:pPr>
            <w:r>
              <w:rPr>
                <w:sz w:val="20"/>
              </w:rPr>
              <w:t>Applicable percentages are based on 187,303,921 shares of Common Stock issued and outstanding as of May 31, 2026. Shares of Common Stock subject to options, warrants, convertible preferred stock and other derivative securities currently exercisable or convertible, or exercisable or convertible within 60 days are deemed outstanding for computing the percentage of the person holding such securities but are not deemed outstanding for computing the percentage of any other person. Unless otherwise indicated in the footnotes to this table, the Company believes that each of the shareholders named in the table has sole voting and investment power with respect to the shares indicated as beneficially owned by them.</w:t>
            </w:r>
          </w:p>
        </w:tc>
      </w:tr>
      <w:tr>
        <w:trPr/>
        <w:tc>
          <w:tcPr>
            <w:tcW w:w="20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both"/>
              <w:rPr/>
            </w:pPr>
            <w:r>
              <w:rPr/>
              <w:t> </w:t>
            </w:r>
          </w:p>
        </w:tc>
      </w:tr>
      <w:tr>
        <w:trPr/>
        <w:tc>
          <w:tcPr>
            <w:tcW w:w="204" w:type="dxa"/>
            <w:tcBorders/>
            <w:vAlign w:val="center"/>
          </w:tcPr>
          <w:p>
            <w:pPr>
              <w:pStyle w:val="TableContents"/>
              <w:bidi w:val="0"/>
              <w:spacing w:before="0" w:after="283"/>
              <w:jc w:val="left"/>
              <w:rPr>
                <w:sz w:val="20"/>
              </w:rPr>
            </w:pPr>
            <w:r>
              <w:rPr>
                <w:sz w:val="20"/>
              </w:rPr>
              <w:t>(2)</w:t>
            </w:r>
          </w:p>
        </w:tc>
        <w:tc>
          <w:tcPr>
            <w:tcW w:w="10001" w:type="dxa"/>
            <w:tcBorders/>
            <w:vAlign w:val="center"/>
          </w:tcPr>
          <w:p>
            <w:pPr>
              <w:pStyle w:val="TableContents"/>
              <w:bidi w:val="0"/>
              <w:spacing w:before="0" w:after="283"/>
              <w:jc w:val="both"/>
              <w:rPr>
                <w:sz w:val="20"/>
              </w:rPr>
            </w:pPr>
            <w:r>
              <w:rPr>
                <w:sz w:val="20"/>
              </w:rPr>
              <w:t>Assumes full vesting of all derivative securities held by the individuals listed, based on 434,389,394 shares of Common Stock on a fully-diluted basis, which amount assumes and gives effect to full conversion and exercise of all outstanding convertible promissory notes, warrants, convertible preferred stock, options and other derivative securities outstanding as of May 31, 2026. Does not give effect to the beneficial ownership limitations contained in such derivative securities.</w:t>
            </w:r>
          </w:p>
        </w:tc>
      </w:tr>
      <w:tr>
        <w:trPr/>
        <w:tc>
          <w:tcPr>
            <w:tcW w:w="20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both"/>
              <w:rPr/>
            </w:pPr>
            <w:r>
              <w:rPr/>
              <w:t> </w:t>
            </w:r>
          </w:p>
        </w:tc>
      </w:tr>
      <w:tr>
        <w:trPr/>
        <w:tc>
          <w:tcPr>
            <w:tcW w:w="204" w:type="dxa"/>
            <w:tcBorders/>
            <w:vAlign w:val="center"/>
          </w:tcPr>
          <w:p>
            <w:pPr>
              <w:pStyle w:val="TableContents"/>
              <w:bidi w:val="0"/>
              <w:spacing w:before="0" w:after="283"/>
              <w:jc w:val="left"/>
              <w:rPr>
                <w:sz w:val="20"/>
              </w:rPr>
            </w:pPr>
            <w:r>
              <w:rPr>
                <w:sz w:val="20"/>
              </w:rPr>
              <w:t>(3)</w:t>
            </w:r>
          </w:p>
        </w:tc>
        <w:tc>
          <w:tcPr>
            <w:tcW w:w="10001" w:type="dxa"/>
            <w:tcBorders/>
            <w:vAlign w:val="center"/>
          </w:tcPr>
          <w:p>
            <w:pPr>
              <w:pStyle w:val="TableContents"/>
              <w:bidi w:val="0"/>
              <w:spacing w:before="0" w:after="283"/>
              <w:jc w:val="both"/>
              <w:rPr>
                <w:sz w:val="20"/>
              </w:rPr>
            </w:pPr>
            <w:r>
              <w:rPr>
                <w:b/>
                <w:sz w:val="20"/>
              </w:rPr>
              <w:t xml:space="preserve">Sumit Kapur. </w:t>
            </w:r>
            <w:r>
              <w:rPr>
                <w:sz w:val="20"/>
              </w:rPr>
              <w:t>Common Stock beneficially owned consists of (i) 32,500,000 restricted shares of the Issuer's Common Stock, vesting in equal monthly installments over a two-year period; (ii) 325,000 shares of Common Stock underlying stock options, which represent a portion of a grant of 600,000 stock options on May 20, 2024 with an exercise price of $1.23 per share, the remainder of which vests in equal monthly increments over three years from March 13, 2025; (iii) 2,500,000 shares of Common Stock issuable upon conversion of a convertible promissory note in the principal amount of $100,000 with a conversion price of $0.04 per share, (iv) 1,250,000 shares of Common Stock issuable upon exercise of a five-year warrant to purchase shares of Common Stock with an exercise price of $0.04 per share, (v) 333,333 shares of Common Stock underlying stock options, which represent a portion of a grant of 1,000,000 stock options on October 9, 2025 with an exercise price of $0.08 per share, the remainder of which vests in equal monthly increments over two years, and (vi) 833,333 shares of Common Stock underlying stock options, which represent a portion of a grant of 5,000,000 stock options on October 9, 2025 with an exercise price of $0.08 per share, the remainder of which vests in equal monthly increments over four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sz w:val="20"/>
              </w:rPr>
            </w:pPr>
            <w:r>
              <w:rPr>
                <w:sz w:val="20"/>
              </w:rPr>
              <w:t>(4)</w:t>
            </w:r>
          </w:p>
        </w:tc>
        <w:tc>
          <w:tcPr>
            <w:tcW w:w="9969" w:type="dxa"/>
            <w:tcBorders/>
            <w:vAlign w:val="center"/>
          </w:tcPr>
          <w:p>
            <w:pPr>
              <w:pStyle w:val="TableContents"/>
              <w:bidi w:val="0"/>
              <w:spacing w:before="0" w:after="283"/>
              <w:jc w:val="both"/>
              <w:rPr>
                <w:sz w:val="20"/>
              </w:rPr>
            </w:pPr>
            <w:r>
              <w:rPr>
                <w:b/>
                <w:sz w:val="20"/>
              </w:rPr>
              <w:t>Clark Golestani</w:t>
            </w:r>
            <w:r>
              <w:rPr>
                <w:sz w:val="20"/>
              </w:rPr>
              <w:t>. Common stock beneficially owned consists of (i) 32,500,000 restricted shares of the Issuer's Common Stock , vesting in equal monthly installments over a two-year period, (ii) 176,288 additional shares of the Issuer's Common Stock , (iii) 34,279 shares of Common Stock underlying stock options exercisable until February 4, 2031, with an exercise price of $2.02 per share; (iv) 68,558 shares of Common Stock underlying stock options exercisable until July 31, 2033, with an exercise price of $3.80 per share; (v) 2,500,000 shares of Common Stock issuable upon conversion of a convertible promissory note in the principal amount of $100,000 with a conversion price of $0.04 per share, (vi) 1,250,000 shares of Common Stock issuable upon exercise of a five-year warrant to purchase shares of Common Stock with an exercise price of $0.04 per share, and (vii) 333,333 shares of Common Stock underlying stock options, which represent a portion of a grant of 1,000,000 stock options on October 9, 2025 with an exercise price of $0.08 per share, the remainder of which vests in equal monthly increments over two years.</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sz w:val="20"/>
              </w:rPr>
            </w:pPr>
            <w:r>
              <w:rPr>
                <w:sz w:val="20"/>
              </w:rPr>
              <w:t>(5)</w:t>
            </w:r>
          </w:p>
        </w:tc>
        <w:tc>
          <w:tcPr>
            <w:tcW w:w="9969" w:type="dxa"/>
            <w:tcBorders/>
            <w:vAlign w:val="center"/>
          </w:tcPr>
          <w:p>
            <w:pPr>
              <w:pStyle w:val="TableContents"/>
              <w:bidi w:val="0"/>
              <w:spacing w:before="0" w:after="283"/>
              <w:jc w:val="both"/>
              <w:rPr>
                <w:sz w:val="20"/>
              </w:rPr>
            </w:pPr>
            <w:r>
              <w:rPr>
                <w:b/>
                <w:sz w:val="20"/>
              </w:rPr>
              <w:t>William Klitgaard</w:t>
            </w:r>
            <w:r>
              <w:rPr>
                <w:sz w:val="20"/>
              </w:rPr>
              <w:t>. Common stock beneficially owned consists of 151,348 shares of Common Stock, (ii) 2,500,000 shares of Common Stock issuable upon conversion of a convertible promissory note in the principal amount of $100,000 with a conversion price of $0.04 per share, (iii) 1,250,000 shares of Common Stock issuable upon exercise of a five-year warrant to purchase shares of Common Stock with an exercise price of $0.04 per share, and (iv) 333,333 shares of Common Stock underlying stock options, which represent a portion of a grant of 1,000,000 stock options on October 9, 2025 with an exercise price of $0.08 per share, the remainder of which vests in equal monthly increments over two years.</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sz w:val="20"/>
              </w:rPr>
            </w:pPr>
            <w:r>
              <w:rPr>
                <w:sz w:val="20"/>
              </w:rPr>
              <w:t>(6)</w:t>
            </w:r>
          </w:p>
        </w:tc>
        <w:tc>
          <w:tcPr>
            <w:tcW w:w="9969" w:type="dxa"/>
            <w:tcBorders/>
            <w:vAlign w:val="center"/>
          </w:tcPr>
          <w:p>
            <w:pPr>
              <w:pStyle w:val="TableContents"/>
              <w:bidi w:val="0"/>
              <w:spacing w:before="0" w:after="283"/>
              <w:jc w:val="both"/>
              <w:rPr>
                <w:sz w:val="20"/>
              </w:rPr>
            </w:pPr>
            <w:r>
              <w:rPr>
                <w:b/>
                <w:sz w:val="20"/>
              </w:rPr>
              <w:t>Andretti Autosport Holding Company LLC. </w:t>
            </w:r>
            <w:r>
              <w:rPr>
                <w:sz w:val="20"/>
              </w:rPr>
              <w:t>Jill Gregory is the President of Andretti Autosport Holding Company, LLC. As such, Andretti Autosport Holding Company, LLC and Jill Gregory may be deemed to beneficially own (as that term is defined in Rule 13d-3 under the Securities Exchange Act of 1934) the issuer's securities described herein. To the extent Jill Gregory is deemed to beneficially own such securities, Jill Gregory disclaims beneficial ownership of these securities except to the extent of its pecuniary interest therein, and the inclusion of these shares in this Prospectus shall not be deemed an admission of beneficial ownership of all of the reported shares for purposes of Section 13 and the rules thereunder. Address is 8278 Georgetown Road Indianapolis, IN 46268.</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sz w:val="20"/>
              </w:rPr>
            </w:pPr>
            <w:r>
              <w:rPr>
                <w:sz w:val="20"/>
              </w:rPr>
              <w:t>(7)</w:t>
            </w:r>
          </w:p>
        </w:tc>
        <w:tc>
          <w:tcPr>
            <w:tcW w:w="9969" w:type="dxa"/>
            <w:tcBorders/>
            <w:vAlign w:val="center"/>
          </w:tcPr>
          <w:p>
            <w:pPr>
              <w:pStyle w:val="TableContents"/>
              <w:bidi w:val="0"/>
              <w:spacing w:before="0" w:after="283"/>
              <w:jc w:val="both"/>
              <w:rPr>
                <w:sz w:val="20"/>
              </w:rPr>
            </w:pPr>
            <w:r>
              <w:rPr>
                <w:b/>
                <w:sz w:val="20"/>
              </w:rPr>
              <w:t>Nick Thakore. </w:t>
            </w:r>
            <w:r>
              <w:rPr>
                <w:sz w:val="20"/>
              </w:rPr>
              <w:t>Represents 18,654,646 shares of the Company’s Common Stock held by Diametric True Alpha Enhanced Market Neutral Master Fund, LP and 3,542,354 shares of Common Stock held by Diametric True Alpha Market Neutral Master Fund, LP, entities in which Mr. Thakore is the Chief Executive Officer and in such capacity is the beneficial owner of such shares. Address is One Nexus Way, Camana Bay, Grand Cayman, KY1-9005.</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pPr>
            <w:r>
              <w:rPr/>
              <w:t>(8)</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William J. Sandbrook. </w:t>
            </w:r>
            <w:r>
              <w:rPr>
                <w:rFonts w:ascii="Times New Roman;Times;Serif" w:hAnsi="Times New Roman;Times;Serif"/>
                <w:b w:val="false"/>
                <w:i w:val="false"/>
                <w:caps w:val="false"/>
                <w:smallCaps w:val="false"/>
                <w:sz w:val="20"/>
              </w:rPr>
              <w:t>Mr. Sandbrook is our former Co-Chief Executive Officer and Chairman. Address is 2500 N. Houston St, Apt 2801, Dallas, TX 75219.</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pPr>
            <w:r>
              <w:rPr/>
              <w:t>(9)</w:t>
            </w:r>
          </w:p>
        </w:tc>
        <w:tc>
          <w:tcPr>
            <w:tcW w:w="9969"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Triatomic Capital Private I LP. </w:t>
            </w:r>
            <w:r>
              <w:rPr>
                <w:rFonts w:ascii="Times New Roman;Times;Serif" w:hAnsi="Times New Roman;Times;Serif"/>
                <w:b w:val="false"/>
                <w:i w:val="false"/>
                <w:caps w:val="false"/>
                <w:smallCaps w:val="false"/>
                <w:sz w:val="20"/>
              </w:rPr>
              <w:t>The shares of Common Stock listed in the table above consists of (i) 12,500,000 shares of Common Stock issuable upon conversion of a convertible promissory note in the principal amount of $500,000 and (ii) 6,250,000 shares of Common Stock issuable upon exercise of a warrant to purchase shares of Common Stock. Common Stock represented in the Pro Forma Fully Diluted Beneficial Ownership listed in the table above consists of (i) 3,245,275 shares of the Company’s Common Stock issuable upon conversion of 1,425 shares of the Company’s Series D Convertible Preferred Stock, (ii) 1,622,637 shares of the Company’s Common Stock issuable upon exercise of Warrant to Purchase Common Stock and (iii) the shares of Common Stock listed above.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505 Hamilton Ave., Ste. 330, Palo Alto, CA 94301.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(10)</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Namdar Family Holding LLC. </w:t>
            </w:r>
            <w:r>
              <w:rPr>
                <w:rFonts w:ascii="Times New Roman;Times;Serif" w:hAnsi="Times New Roman;Times;Serif"/>
                <w:b w:val="false"/>
                <w:i w:val="false"/>
                <w:caps w:val="false"/>
                <w:smallCaps w:val="false"/>
                <w:sz w:val="20"/>
              </w:rPr>
              <w:t>Common Stock represented in the Pro Forma Fully Diluted Beneficial Ownership listed in the table above consists of (i) 7,401,503 shares of the Company’s Common Stock issuable upon conversion of 3,250 shares of the Company’s Series D Convertible Preferred Stock and (ii) 3,700,751 shares of the Company’s Common Stock issuable upon exercise of Warrant to Purchase Common Stock.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130 Great Neck Rd., Ste. 304, Great Neck, NY 11021.</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(11)</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Sohan Uppal. </w:t>
            </w:r>
            <w:r>
              <w:rPr>
                <w:rFonts w:ascii="Times New Roman;Times;Serif" w:hAnsi="Times New Roman;Times;Serif"/>
                <w:b w:val="false"/>
                <w:i w:val="false"/>
                <w:caps w:val="false"/>
                <w:smallCaps w:val="false"/>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8334 Virginia Ave. South, Minneapolis, MN 55438.</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(12)</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Terra Property Trust, Inc. </w:t>
            </w:r>
            <w:r>
              <w:rPr>
                <w:rFonts w:ascii="Times New Roman;Times;Serif" w:hAnsi="Times New Roman;Times;Serif"/>
                <w:b w:val="false"/>
                <w:i w:val="false"/>
                <w:caps w:val="false"/>
                <w:smallCaps w:val="false"/>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205 W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10001.</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(13)</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Vaspen MS I, LLC. </w:t>
            </w:r>
            <w:r>
              <w:rPr>
                <w:rFonts w:ascii="Times New Roman;Times;Serif" w:hAnsi="Times New Roman;Times;Serif"/>
                <w:b w:val="false"/>
                <w:i w:val="false"/>
                <w:caps w:val="false"/>
                <w:smallCaps w:val="false"/>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205 W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10001.</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(14)</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Foley Hoag LLP. </w:t>
            </w:r>
            <w:r>
              <w:rPr>
                <w:rFonts w:ascii="Times New Roman;Times;Serif" w:hAnsi="Times New Roman;Times;Serif"/>
                <w:b w:val="false"/>
                <w:i w:val="false"/>
                <w:caps w:val="false"/>
                <w:smallCaps w:val="false"/>
                <w:sz w:val="20"/>
              </w:rPr>
              <w:t>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155 Seaport Boulevard, Boston, MA 02210-2600.</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(15)</w:t>
            </w:r>
          </w:p>
        </w:tc>
        <w:tc>
          <w:tcPr>
            <w:tcW w:w="9842" w:type="dxa"/>
            <w:tcBorders/>
            <w:vAlign w:val="center"/>
          </w:tcPr>
          <w:p>
            <w:pPr>
              <w:pStyle w:val="TableContents"/>
              <w:bidi w:val="0"/>
              <w:spacing w:before="0" w:after="283"/>
              <w:jc w:val="both"/>
              <w:rPr/>
            </w:pPr>
            <w:r>
              <w:rPr>
                <w:b/>
              </w:rPr>
              <w:t>Paul, Weiss, Rifkind, Wharton &amp; Garrison LLP.</w:t>
            </w:r>
            <w:r>
              <w:rPr/>
              <w:t xml:space="preserve"> </w:t>
            </w:r>
            <w:r>
              <w:rPr>
                <w:rFonts w:ascii="Times New Roman;Times;Serif" w:hAnsi="Times New Roman;Times;Serif"/>
                <w:sz w:val="20"/>
              </w:rPr>
              <w:t>For additional information please see “</w:t>
            </w:r>
            <w:hyperlink w:anchor="s1_018">
              <w:r>
                <w:rPr>
                  <w:rStyle w:val="InternetLink"/>
                  <w:rFonts w:ascii="Times New Roman;Times;Serif" w:hAnsi="Times New Roman;Times;Serif"/>
                  <w:sz w:val="20"/>
                </w:rPr>
                <w:t>Description of Our Securities</w:t>
              </w:r>
            </w:hyperlink>
            <w:r>
              <w:rPr>
                <w:rFonts w:ascii="Times New Roman;Times;Serif" w:hAnsi="Times New Roman;Times;Serif"/>
                <w:sz w:val="20"/>
              </w:rPr>
              <w:t>” below. Address is 1285 Avenue of the Americas, New York, NY 10019-6064.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s1_018"/>
      <w:bookmarkEnd w:id="21"/>
      <w:r>
        <w:rPr>
          <w:rFonts w:ascii="Times New Roman;Times;Serif" w:hAnsi="Times New Roman;Times;Serif"/>
          <w:b/>
          <w:i w:val="false"/>
          <w:caps w:val="false"/>
          <w:smallCaps w:val="false"/>
          <w:sz w:val="20"/>
        </w:rPr>
        <w:t>DESCRIPTION OF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consists of 600,000,000 shares of $0.0001 par value Common Stock, of which 187,303,921 shares are outstanding, 23,000 shares of par value $0.0001 Series C Convertible Preferred Stock of which 11,983 shares are outstanding, and 15,000 shares of par value $0.0001 Series D Convertible Preferred Stock, of which 15,000 shares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held on all matters to be voted upon by the shareholders. At any meeting of the shareholders, a quorum as to any matter shall consist of one-third of the votes entitled to be cast on the matter, except where a larger quorum is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receive dividends declared by our Board out of funds legally available for the payment of dividends, subject to the rights, if any, of preferred shareholders. In the event of our liquidation, dissolution or winding up, holders of Common Stock are entitled to share ratably in all of our assets remaining after we pay our liabilities and distribute the liquidation preference of any then outstanding preferred stock. The rights, preferences and privileges of holders of Common Stock are subject to, and may be adversely affected by, the rights of holders of any series of preferred stock that we may designate and issue in the future. Holders of Common Stock have no preemptive or other subscription or conversion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C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D has a stated value of $1,000 and is convertible into the Company’s Common Stock at a conversion rate equal to the stated value divided by the conversion price. The initial conversion price is $0.4391 per share, subject to adjustment as provided in the Series D Certificate of Designations of Preferences, Rights and Limitations (“Certificate of Designations”). Conversions and voting rights of the Series D are subject to beneficial ownership limitations of 4.99% of 9.99% of outstanding Common Stock, as selected by each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contains certain adjustment provisions, including price protection adjustment provisions in the event of a lower priced issuance of securities, pursuant to which the conversion price of the Series D will be reduced if the Company conducts a subsequent sale or issuance of securities at a price per share that is less than the conversion price then in effect, which reduction is based on a formula set forth therein. Due to the conversion formula set forth in the Series D, such a reduction to the conversion price would result in an increase in the number of shares of Common Stock issuable upon conversion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D are entitled to vote on an as-converted basis, and are also entitled to annual dividends equal to 8% of the stated value per share of Series D payable quarterly in arrears in shares of Common Stock, with the number of shares of Common Stock determined by dividing the dividend amount by the conversion price of the Series 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subjects the Company to negative covenants restricting its ability to take certain actions without prior approval from the holders of a majority of the outstanding shares of Series D for as long as the holders continue to hold at least 50% of the Series D shares issued on the issuance date. These restrictive covenants include the following actions by the Company: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60"/>
        <w:gridCol w:w="987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i.</w:t>
            </w:r>
          </w:p>
        </w:tc>
        <w:tc>
          <w:tcPr>
            <w:tcW w:w="9870" w:type="dxa"/>
            <w:tcBorders/>
            <w:shd w:fill="FFFFFF" w:val="clear"/>
            <w:vAlign w:val="center"/>
          </w:tcPr>
          <w:p>
            <w:pPr>
              <w:pStyle w:val="TableContents"/>
              <w:bidi w:val="0"/>
              <w:spacing w:before="0" w:after="283"/>
              <w:jc w:val="both"/>
              <w:rPr/>
            </w:pPr>
            <w:r>
              <w:rPr/>
              <w:t>Payment or declaration of any dividend (other than pursuant to the Series D Certificate of Designations);</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ii.</w:t>
            </w:r>
          </w:p>
        </w:tc>
        <w:tc>
          <w:tcPr>
            <w:tcW w:w="9870" w:type="dxa"/>
            <w:tcBorders/>
            <w:shd w:fill="FFFFFF" w:val="clear"/>
            <w:vAlign w:val="center"/>
          </w:tcPr>
          <w:p>
            <w:pPr>
              <w:pStyle w:val="TableContents"/>
              <w:bidi w:val="0"/>
              <w:spacing w:before="0" w:after="283"/>
              <w:jc w:val="both"/>
              <w:rPr/>
            </w:pPr>
            <w:r>
              <w:rPr/>
              <w:t>Amendment to the Company’s Certificate of Incorporation or Bylaws so as to adversely alter the rights, preferences, or privileges of the Series D;</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iii.</w:t>
            </w:r>
          </w:p>
        </w:tc>
        <w:tc>
          <w:tcPr>
            <w:tcW w:w="9870" w:type="dxa"/>
            <w:tcBorders/>
            <w:shd w:fill="FFFFFF" w:val="clear"/>
            <w:vAlign w:val="center"/>
          </w:tcPr>
          <w:p>
            <w:pPr>
              <w:pStyle w:val="TableContents"/>
              <w:bidi w:val="0"/>
              <w:spacing w:before="0" w:after="283"/>
              <w:jc w:val="both"/>
              <w:rPr/>
            </w:pPr>
            <w:r>
              <w:rPr/>
              <w:t>Create any new class of shares pari passu or senior to the Series D;</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iv.</w:t>
            </w:r>
          </w:p>
        </w:tc>
        <w:tc>
          <w:tcPr>
            <w:tcW w:w="9870" w:type="dxa"/>
            <w:tcBorders/>
            <w:shd w:fill="FFFFFF" w:val="clear"/>
            <w:vAlign w:val="center"/>
          </w:tcPr>
          <w:p>
            <w:pPr>
              <w:pStyle w:val="TableContents"/>
              <w:bidi w:val="0"/>
              <w:spacing w:before="0" w:after="283"/>
              <w:jc w:val="both"/>
              <w:rPr/>
            </w:pPr>
            <w:r>
              <w:rPr/>
              <w:t>Incur indebtedness in excess of $2,000,000 in the aggregate, other than up to $2,000,000 in purchase money indebtedness, up to $2,000,000 in small business government loans, up to $2,000,000 in capital leases, or in connection with any restructuring, re-financing, third party purchase or similar transaction involving indebtedness which is in existence as of the issuance date;</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v.</w:t>
            </w:r>
          </w:p>
        </w:tc>
        <w:tc>
          <w:tcPr>
            <w:tcW w:w="9870" w:type="dxa"/>
            <w:tcBorders/>
            <w:shd w:fill="FFFFFF" w:val="clear"/>
            <w:vAlign w:val="center"/>
          </w:tcPr>
          <w:p>
            <w:pPr>
              <w:pStyle w:val="TableContents"/>
              <w:bidi w:val="0"/>
              <w:spacing w:before="0" w:after="283"/>
              <w:jc w:val="both"/>
              <w:rPr/>
            </w:pPr>
            <w:r>
              <w:rPr/>
              <w:t>Redeem, purchase or otherwise acquire any shares of preferred stock or Common Stock (other than (a) the repurchase of shares of Common Stock pursuant to a written benefit plan or employment or consulting agreement, (b) the repurchase of any equity securities in connection with the Company’s right of first offer with respect to those securities contained in any written agreement with the Company) or (c) any Exchange as defined in and pursuant to the Certificate of Designations; or</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vi.</w:t>
            </w:r>
          </w:p>
        </w:tc>
        <w:tc>
          <w:tcPr>
            <w:tcW w:w="9870" w:type="dxa"/>
            <w:tcBorders/>
            <w:shd w:fill="FFFFFF" w:val="clear"/>
            <w:vAlign w:val="center"/>
          </w:tcPr>
          <w:p>
            <w:pPr>
              <w:pStyle w:val="TableContents"/>
              <w:bidi w:val="0"/>
              <w:spacing w:before="0" w:after="283"/>
              <w:jc w:val="both"/>
              <w:rPr/>
            </w:pPr>
            <w:r>
              <w:rPr/>
              <w:t>Enter into any transaction with any of the Company’s officers, directors or any person directly or indirectly controlled by or under common control with the Company or any of its officers or directors, except for (i) transactions entered into in the ordinary course of business or otherwise in the furtherance of the Company’s business as presently conducted or planned to be conducted, (ii) transactions that are approved by the Board of Directors or (iii) transactions that have been authorized as of the issuance date.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also provides the Company with a special exchange right, pursuant to which the Company can exchange outstanding Series D for shares of Common Stock in 50% increments, provided the following conditions are met: for the first 50%, (i) the average daily VWAP of the Common Stock for the 10 preceding trading days is at least three times the conversion price, and (ii) the average daily dollar trading volume of the Common Stock (determined pursuant to the Series D Certificate) is at least $5,000,000 during this 10-day period, and for the second 50%, (i) the average daily VWAP of the Common Stock for the 10 preceding trading days is at least five times the conversion price, and (ii) the average daily dollar trading volume of the Common Stock (determined pursuant to the Series D Certificate) is at least $5,000,000 during this 10-day period. If the exchange would cause any Series D holder to exceed any applicable beneficial ownership limitation, then the exchange will not be affected as to the shares of Common Stock that would exceed such limit and this right will be held in abeyance for any affected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Certificate of Designations also provides that all shares of capital stock of the Company, including both Common Stock and all other series of preferred stock, shall be junior in rank to all shares of Series D with respect to dividends, and payments upon the liquidation, dissolution, and winding up of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 and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trading days out of 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there were 11,499,982 and 11,499,982 Public Warrants outstanding, respectively. As of March 31, 2026 and December 31, 2025, there were 55,800,000 and 55,800,000 Private Placement Warrants outstanding, respectively. The Public Warrants and Private Placement Warrants qualify for equity classification in accordance with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Accordingly, the Warrants were initially measured at fair value and recorded within equity with no subsequent measures of changes in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37,500,000 2025 Warrants outstanding. The 2025 Warrants have a term of five years. The Warrants have an exercise price of $0.04 per share, subject to certain adjustments. At any time when a registration statement registering the resale of shares issuable upon exercise of the Warrants is not effective, the Warrants can be exercised cashlessly by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17,080,390 2026 Warrants outstanding. The 2026 Warrants have a term of seven and one-half years and are exercisable at an initial exercise price of $0.4391 per share, subject to adjustment as provided therein. Beginning on the six-month anniversary of the issuance date, 50% of the shares underlying the 2026 Warrants may be exercised using a cashless exercise. The remaining 50% may be exercised cashlessly at any time if there is no effective registration statement covering the sale of the shares underlying the 2026 Warrants. Exercises of the 2026 Warrants and conversions of the Series D are subject to beneficial ownership limitations of 4.99% or 9.99% of the outstanding shares of Common Stock as elected by each applicable holder.</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Warrants contain certain adjustment provisions, including price protection adjustment provisions in the event of a lower priced issuance of securities, pursuant to which the exercise price of the 2026 Warrants will be reduced if the Company conducts a subsequent sale or issuance of securities at a price per share that is less than the exercise price then in effect, which reduction is based on a formula set forth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Activity Warrants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5,433,215 Financing Activity Warrants outstanding. These warrants have a term of five years. 4,750,000 such warrants are exercisable at an average price of $0.05 per share and 683,215 are exercisable at a price of $0.4391 per share. At any time when a registration statement registering the resale of shares issuable upon exercise of the Warrants is not effective, these warrants can be exercised cashlessly by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s1_019"/>
      <w:bookmarkEnd w:id="22"/>
      <w:r>
        <w:rPr>
          <w:rFonts w:ascii="Times New Roman;Times;Serif" w:hAnsi="Times New Roman;Times;Serif"/>
          <w:b/>
          <w:i w:val="false"/>
          <w:caps w:val="false"/>
          <w:smallCaps w:val="false"/>
          <w:sz w:val="20"/>
        </w:rPr>
        <w:t>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The Common Stock being offered by the Selling Stockholders are those previously issued to the Selling Stockholders, and those issuable to the Selling Stockholders, upon conversion or exercise of the Convertible Securities. For additional information regarding these issuances, 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above. We are registering the shares of Common Stock in order to permit the Selling Stockholders to offer the shares for resale from time to time. Except for the ownership of the Convertible Securities and the shares of Common Stock and as reflected below, the Selling Stockholders have not had any material relationship with us within the past three years.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pursuant to this Prospectus from time-to-time offer and sell any or all of the Shares to be issued to the Selling Stockholders upon conversion of the Series C, Series D and exercise of the Warrants, and/or may sell the Warrants themselves. We do not know how long each Selling Stockholder will hold the Securities before selling them, and we currently have no agreements, arrangements or understandings with the Selling Stockholders regarding the sale of any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To our knowledge, none of the Selling Stockholders nor any affiliates has held a position or office, or had any other material relationship, with us or any of our predecessors or affiliates, except as set forth below or under the heading “</w:t>
      </w:r>
      <w:hyperlink w:anchor="s1_017">
        <w:r>
          <w:rPr>
            <w:rStyle w:val="InternetLink"/>
            <w:rFonts w:ascii="Times New Roman;Times;Serif" w:hAnsi="Times New Roman;Times;Serif"/>
            <w:b w:val="false"/>
            <w:i w:val="false"/>
            <w:caps w:val="false"/>
            <w:smallCaps w:val="false"/>
            <w:sz w:val="20"/>
          </w:rPr>
          <w:t>Principal Stockholders</w:t>
        </w:r>
      </w:hyperlink>
      <w:r>
        <w:rPr>
          <w:rFonts w:ascii="Times New Roman;Times;Serif" w:hAnsi="Times New Roman;Times;Serif"/>
          <w:b w:val="false"/>
          <w:i w:val="false"/>
          <w:caps w:val="false"/>
          <w:smallCaps w:val="false"/>
          <w:sz w:val="20"/>
        </w:rPr>
        <w:t>.” As used in this Prospectus, the term “Selling Stockholder” includes each Selling Stockholder and any donees, pledgees, transferees or other successors in interest selling Securities received after the date of this Prospectus from that Selling Stockholder as a gift, pledge or other non-sale related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table below lists information regarding the ownership of the Shares by the Selling Stockholders. The first column lists the shares of our common stock beneficially owned by the Selling Stockholders prior to this offering. Each Selling Stockholder may sell all, some or none of the Shares it beneficially owns in this offering. See “</w:t>
      </w:r>
      <w:hyperlink w:anchor="s1_009">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For this purpose, it is assumed that the Selling Stockholders will exercise their Warrants and sell the underlying Shares issuable thereby, rather than sell their Warrants, and as such the table below reflects the Shares on an “as-converted” and “as-exercised”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column lists the Shares being offered by this Prospectus by Selling Stockholder. The third column lists any Shares beneficially owned by each Selling Stockholder after the sale of all Shares listed in the second column. The fourth column lists the percent of the class beneficially owned by each Selling Stockholder after the Offering. The fourth column assumes the sale of all of the shares offered by the Selling Shareholders pursuant to this Prospectus.</w:t>
      </w:r>
    </w:p>
    <w:p>
      <w:pPr>
        <w:pStyle w:val="TextBody"/>
        <w:bidi w:val="0"/>
        <w:spacing w:before="0" w:after="0"/>
        <w:ind w:left="72" w:right="72"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certain registration rights agreements with the Selling Shareholders, this prospectus generally covers the resale of the sum of (i) the number of shares of Common Stock issued or issuable to the Selling Shareholders, and (ii) the maximum number of shares of Common Stock issuable upon exercise of the Warrants, determined as if the outstanding Warrants were exercised in full as of the trading day immediately preceding the date this registration statement was initially filed with the SEC, subject to adjustment as provided in the registration rights agreement, without regard to any limitations on the exercise of the Warrants.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72"/>
        <w:gridCol w:w="60"/>
        <w:gridCol w:w="1443"/>
        <w:gridCol w:w="60"/>
        <w:gridCol w:w="2517"/>
        <w:gridCol w:w="60"/>
        <w:gridCol w:w="1761"/>
        <w:gridCol w:w="60"/>
        <w:gridCol w:w="1394"/>
        <w:gridCol w:w="78"/>
      </w:tblGrid>
      <w:tr>
        <w:trPr/>
        <w:tc>
          <w:tcPr>
            <w:tcW w:w="2772" w:type="dxa"/>
            <w:tcBorders>
              <w:bottom w:val="single" w:sz="8" w:space="0" w:color="000000"/>
            </w:tcBorders>
            <w:vAlign w:val="center"/>
          </w:tcPr>
          <w:p>
            <w:pPr>
              <w:pStyle w:val="TableContents"/>
              <w:bidi w:val="0"/>
              <w:spacing w:before="0" w:after="283"/>
              <w:jc w:val="left"/>
              <w:rPr>
                <w:b/>
              </w:rPr>
            </w:pPr>
            <w:r>
              <w:rPr>
                <w:b/>
              </w:rPr>
              <w:t>Name of Holder</w:t>
            </w:r>
          </w:p>
        </w:tc>
        <w:tc>
          <w:tcPr>
            <w:tcW w:w="60" w:type="dxa"/>
            <w:tcBorders/>
            <w:tcMar>
              <w:bottom w:w="0" w:type="dxa"/>
            </w:tcMar>
            <w:vAlign w:val="center"/>
          </w:tcPr>
          <w:p>
            <w:pPr>
              <w:pStyle w:val="TableContents"/>
              <w:bidi w:val="0"/>
              <w:spacing w:before="0" w:after="283"/>
              <w:jc w:val="left"/>
              <w:rPr/>
            </w:pPr>
            <w:r>
              <w:rPr/>
              <w:t> </w:t>
            </w:r>
          </w:p>
        </w:tc>
        <w:tc>
          <w:tcPr>
            <w:tcW w:w="1443" w:type="dxa"/>
            <w:tcBorders>
              <w:bottom w:val="single" w:sz="8" w:space="0" w:color="000000"/>
            </w:tcBorders>
            <w:vAlign w:val="center"/>
          </w:tcPr>
          <w:p>
            <w:pPr>
              <w:pStyle w:val="TableContents"/>
              <w:bidi w:val="0"/>
              <w:spacing w:before="0" w:after="283"/>
              <w:jc w:val="center"/>
              <w:rPr>
                <w:b/>
                <w:sz w:val="20"/>
              </w:rPr>
            </w:pPr>
            <w:r>
              <w:rPr>
                <w:b/>
                <w:sz w:val="20"/>
              </w:rPr>
              <w:t>Number of Shares of Common Stock</w:t>
              <w:br/>
              <w:t>Owned Prior to</w:t>
              <w:br/>
              <w:t xml:space="preserve">Offering </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517" w:type="dxa"/>
            <w:tcBorders>
              <w:bottom w:val="single" w:sz="8" w:space="0" w:color="000000"/>
            </w:tcBorders>
            <w:vAlign w:val="center"/>
          </w:tcPr>
          <w:p>
            <w:pPr>
              <w:pStyle w:val="TableContents"/>
              <w:bidi w:val="0"/>
              <w:spacing w:before="0" w:after="283"/>
              <w:jc w:val="center"/>
              <w:rPr>
                <w:b/>
              </w:rPr>
            </w:pPr>
            <w:r>
              <w:rPr>
                <w:b/>
              </w:rPr>
              <w:t>Maximum Number of Shares of Common Stock to be Offered Pursuant to this Prospectus</w:t>
            </w:r>
          </w:p>
        </w:tc>
        <w:tc>
          <w:tcPr>
            <w:tcW w:w="60" w:type="dxa"/>
            <w:tcBorders/>
            <w:tcMar>
              <w:bottom w:w="0" w:type="dxa"/>
            </w:tcMar>
            <w:vAlign w:val="center"/>
          </w:tcPr>
          <w:p>
            <w:pPr>
              <w:pStyle w:val="TableContents"/>
              <w:bidi w:val="0"/>
              <w:spacing w:before="0" w:after="283"/>
              <w:jc w:val="left"/>
              <w:rPr/>
            </w:pPr>
            <w:r>
              <w:rPr/>
              <w:t> </w:t>
            </w:r>
          </w:p>
        </w:tc>
        <w:tc>
          <w:tcPr>
            <w:tcW w:w="1761" w:type="dxa"/>
            <w:tcBorders>
              <w:bottom w:val="single" w:sz="8" w:space="0" w:color="000000"/>
            </w:tcBorders>
            <w:vAlign w:val="center"/>
          </w:tcPr>
          <w:p>
            <w:pPr>
              <w:pStyle w:val="TableContents"/>
              <w:bidi w:val="0"/>
              <w:spacing w:before="0" w:after="283"/>
              <w:jc w:val="center"/>
              <w:rPr>
                <w:b/>
              </w:rPr>
            </w:pPr>
            <w:r>
              <w:rPr>
                <w:b/>
              </w:rPr>
              <w:t>Number of</w:t>
              <w:br/>
              <w:t>Shares of Common Stock Owned After Offering</w:t>
            </w:r>
          </w:p>
        </w:tc>
        <w:tc>
          <w:tcPr>
            <w:tcW w:w="60" w:type="dxa"/>
            <w:tcBorders/>
            <w:tcMar>
              <w:bottom w:w="0" w:type="dxa"/>
            </w:tcMar>
            <w:vAlign w:val="center"/>
          </w:tcPr>
          <w:p>
            <w:pPr>
              <w:pStyle w:val="TableContents"/>
              <w:bidi w:val="0"/>
              <w:spacing w:before="0" w:after="283"/>
              <w:jc w:val="left"/>
              <w:rPr/>
            </w:pPr>
            <w:r>
              <w:rPr/>
              <w:t> </w:t>
            </w:r>
          </w:p>
        </w:tc>
        <w:tc>
          <w:tcPr>
            <w:tcW w:w="1394" w:type="dxa"/>
            <w:tcBorders>
              <w:bottom w:val="single" w:sz="8" w:space="0" w:color="000000"/>
            </w:tcBorders>
            <w:vAlign w:val="center"/>
          </w:tcPr>
          <w:p>
            <w:pPr>
              <w:pStyle w:val="TableContents"/>
              <w:bidi w:val="0"/>
              <w:spacing w:before="0" w:after="283"/>
              <w:jc w:val="center"/>
              <w:rPr>
                <w:b/>
              </w:rPr>
            </w:pPr>
            <w:r>
              <w:rPr>
                <w:b/>
              </w:rPr>
              <w:t xml:space="preserve">Percentage </w:t>
              <w:br/>
              <w:t>of Outstanding</w:t>
              <w:br/>
              <w:t>Shares Beneficially</w:t>
              <w:br/>
              <w:t>Owned After</w:t>
              <w:br/>
              <w:t>Offering</w:t>
            </w:r>
          </w:p>
        </w:tc>
        <w:tc>
          <w:tcPr>
            <w:tcW w:w="78" w:type="dxa"/>
            <w:tcBorders/>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Yung-Cheng LAI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1,860,539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152,500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BJI Financial Group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The Prakash Family 2012 Trust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1,195,627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1,195,627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Eugene Ng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683,216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683,216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George Kaufman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10,027,519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1,400,592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8,626,927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4.6%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Great Point Capital,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2,220,451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2,220,451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Griffin Ehlen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Bay 1118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Joseph W. Dews IV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Abraham-Hill,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683,216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683,216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Mark Turley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Calitim Investments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The Amended and Restated Matthew M. Bennett Living Trust d/t/d 4/7/22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756,206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256,206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Mavik Capital Management, LP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1,708,039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1,708,039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Terra Property Trust, Inc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Vaspen MS I,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Paul Schneck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Peter Taunton Revocable Trust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Rhonda Reinholtz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854,020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854,020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Rich Olsen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4,604,020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3,750,000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2.0%</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TRIATOMIC CAPITAL PRIVATE I LP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23,617,912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4,867,912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18,750,000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10.0%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Resonance Capital,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3,354,020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2,500,000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1.3%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Namdar Family Holding LLC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11,102,254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11,102,254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Ravi Bhat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Alan Fragen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683,216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683,216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Alexander Cohen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Robert N. Snyder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392,849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392,849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Bradley Louis Radoff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Brian Kabot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Fifth Lane Partners Fund, LP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Chris Heaney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Clinton Biondo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David Moore Revocable Trust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H&amp;H Realty Associates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Marc Lehmann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MYW Holdings,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Notini Heritage Revocable Trust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Castel Holdings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TCG Holdings I LLC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Barney Investments, LP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Mike Kropp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Odeon Credit Strategies Fund LP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HURRICANE CAPITAL MANAGER PLATFORM SPC - HMAP S1SP2 SANDOZ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512,412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512,412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Chaim Howard Wietschner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256,206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256,206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Cytium Investment Management, LLC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854,020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854,020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The RF Trust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597,814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597,814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MICHAEL DISTENFELD IRA RBC CAPITAL MARKETS LLC CUS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819,814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597,814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222,000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Sohan Uppal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Odeon Capital Group LLC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648,120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256,889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391,321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Chardan Capital Markets, LLC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213,163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213,163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Craig-Hallum Capital Group LLC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3,763,163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213,163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3,550,000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1.9%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Foley Hoag LLP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4,892,000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4,892,000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w:t>
            </w:r>
          </w:p>
        </w:tc>
        <w:tc>
          <w:tcPr>
            <w:tcW w:w="9997" w:type="dxa"/>
            <w:tcBorders/>
            <w:vAlign w:val="center"/>
          </w:tcPr>
          <w:p>
            <w:pPr>
              <w:pStyle w:val="TableContents"/>
              <w:bidi w:val="0"/>
              <w:spacing w:before="0" w:after="283"/>
              <w:jc w:val="both"/>
              <w:rPr>
                <w:sz w:val="20"/>
              </w:rPr>
            </w:pPr>
            <w:r>
              <w:rPr>
                <w:sz w:val="20"/>
              </w:rPr>
              <w:t>Less than 1%</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sz w:val="20"/>
              </w:rPr>
            </w:pPr>
            <w:r>
              <w:rPr>
                <w:sz w:val="20"/>
              </w:rPr>
              <w:t>(1)</w:t>
            </w:r>
          </w:p>
        </w:tc>
        <w:tc>
          <w:tcPr>
            <w:tcW w:w="9997" w:type="dxa"/>
            <w:tcBorders/>
            <w:vAlign w:val="center"/>
          </w:tcPr>
          <w:p>
            <w:pPr>
              <w:pStyle w:val="TableContents"/>
              <w:bidi w:val="0"/>
              <w:spacing w:before="0" w:after="283"/>
              <w:jc w:val="both"/>
              <w:rPr>
                <w:sz w:val="20"/>
              </w:rPr>
            </w:pPr>
            <w:r>
              <w:rPr>
                <w:sz w:val="20"/>
              </w:rPr>
              <w:t xml:space="preserve">Beneficial ownership is determined in accordance with Section 13(d) under the Exchange Act and Rule 13d-3 thereunder. It includes all shares which each Selling Stockholder currently has the power to vote and/or sell as of the date of this Prospectus and within 60 days afterwards. </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sz w:val="20"/>
              </w:rPr>
            </w:pPr>
            <w:r>
              <w:rPr>
                <w:sz w:val="20"/>
              </w:rPr>
              <w:t>(2)</w:t>
            </w:r>
          </w:p>
        </w:tc>
        <w:tc>
          <w:tcPr>
            <w:tcW w:w="9997" w:type="dxa"/>
            <w:tcBorders/>
            <w:vAlign w:val="center"/>
          </w:tcPr>
          <w:p>
            <w:pPr>
              <w:pStyle w:val="TableContents"/>
              <w:bidi w:val="0"/>
              <w:spacing w:before="0" w:after="283"/>
              <w:jc w:val="both"/>
              <w:rPr/>
            </w:pPr>
            <w:r>
              <w:rPr>
                <w:sz w:val="20"/>
              </w:rPr>
              <w:t>The shares of Common Stock reflected in the above table as to each Selling Stockholder consist of the following: (i) two-thirds of such shares represent shares of Common Stock issuable upon conversion of shares of Series D Convertible Preferred Stock held by the Selling Stockholder and (ii) one-third of such shares are shares of Common Stock issuable upon exercise of the Warrants held by the Selling Stockholder. The number of shares of Common Stock issuable upon conversion of the Series D may be increased based on certain adjustment provisions set forth in the Series D, as described under “</w:t>
            </w:r>
            <w:hyperlink w:anchor="s1_018">
              <w:r>
                <w:rPr>
                  <w:rStyle w:val="InternetLink"/>
                  <w:sz w:val="20"/>
                </w:rPr>
                <w:t>Description of Our Securities</w:t>
              </w:r>
            </w:hyperlink>
            <w:r>
              <w:rPr>
                <w:sz w:val="20"/>
              </w:rPr>
              <w:t>.” The Series D and Warrants held by each Selling Stockholder are subject to beneficial ownership limitations.</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sz w:val="20"/>
              </w:rPr>
            </w:pPr>
            <w:r>
              <w:rPr>
                <w:sz w:val="20"/>
              </w:rPr>
              <w:t>(3)</w:t>
            </w:r>
          </w:p>
        </w:tc>
        <w:tc>
          <w:tcPr>
            <w:tcW w:w="9997" w:type="dxa"/>
            <w:tcBorders/>
            <w:vAlign w:val="center"/>
          </w:tcPr>
          <w:p>
            <w:pPr>
              <w:pStyle w:val="TableContents"/>
              <w:bidi w:val="0"/>
              <w:spacing w:before="0" w:after="283"/>
              <w:jc w:val="both"/>
              <w:rPr>
                <w:sz w:val="20"/>
              </w:rPr>
            </w:pPr>
            <w:r>
              <w:rPr>
                <w:sz w:val="20"/>
              </w:rPr>
              <w:t>The shares of Common Stock reflected in the above table as to the Selling Stockholder consists of shares of Common Stock issuable upon exercise of the Warrants held by the Selling Stockholder.</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sz w:val="20"/>
              </w:rPr>
            </w:pPr>
            <w:r>
              <w:rPr>
                <w:sz w:val="20"/>
              </w:rPr>
              <w:t>(4)</w:t>
            </w:r>
          </w:p>
        </w:tc>
        <w:tc>
          <w:tcPr>
            <w:tcW w:w="9997"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The shares of Common Stock reflected in the above table as to the Selling Stockholder consist of shares of Common Stock issuable upon conversion of shares of Series C Convertible Preferred Stock held by the Selling Stockholder. See “</w:t>
            </w:r>
            <w:hyperlink w:anchor="conversionags">
              <w:r>
                <w:rPr>
                  <w:rStyle w:val="InternetLink"/>
                  <w:rFonts w:ascii="Times New Roman;Times;Serif" w:hAnsi="Times New Roman;Times;Serif"/>
                  <w:b w:val="false"/>
                  <w:i w:val="false"/>
                  <w:caps w:val="false"/>
                  <w:smallCaps w:val="false"/>
                  <w:sz w:val="20"/>
                </w:rPr>
                <w:t>The Private Placements — Conversion Agreements</w:t>
              </w:r>
            </w:hyperlink>
            <w:r>
              <w:rPr>
                <w:rFonts w:ascii="Times New Roman;Times;Serif" w:hAnsi="Times New Roman;Times;Serif"/>
                <w:b w:val="false"/>
                <w:i w:val="false"/>
                <w:caps w:val="false"/>
                <w:smallCaps w:val="false"/>
                <w:sz w:val="20"/>
              </w:rPr>
              <w:t>” at page 40. The Selling Stockholder provided legal services to the Company in connection with various legal matters and its business address is 155 Seaport Boulevard, Boston, MA 02210.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amounts reflected in the above table do not give effect to the beneficial ownership limitation in the Series C, Series D, or Warrants which is initially 4.99%, but may be increased to 9.99% upon written notice to the Company provided that (i) any such increase will not be effective until the 61st day after such notice is delivered to the Company, and (ii) any such increase or decrease will apply only to such holder sending such notice and not to any other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at page 40 for a description of transactions pursuant to which the Selling Stockholders obtained the shares of Common Stock and the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1_020"/>
      <w:bookmarkEnd w:id="23"/>
      <w:r>
        <w:rPr>
          <w:rFonts w:ascii="Times New Roman;Times;Serif" w:hAnsi="Times New Roman;Times;Serif"/>
          <w:b/>
          <w:i w:val="false"/>
          <w:caps w:val="false"/>
          <w:smallCaps w:val="false"/>
          <w:sz w:val="20"/>
        </w:rPr>
        <w:t>DISCLOSURE OF COMMISSION POSITION 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720" w:right="0" w:hanging="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under the Securities Act may be permitted to officers, directors or persons controlling the Company pursuant to the foregoing provisions, the Company has been informed that is it is the opinion of the SEC that such indemnification is against public policy as expressed in such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s1_021"/>
      <w:bookmarkEnd w:id="24"/>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litigation that arises through the normal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s1_022"/>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by this Prospectus will be passed upon for us by Nason, Yeager, Gerson, Harris, &amp; Fumero, P.A., Palm Beach Gardens, Florida.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s1_023"/>
      <w:bookmarkEnd w:id="26"/>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&amp; Company, P.A., independent registered public accounting firm, has audited the consolidated financial statements of the Company as of December 31, 2025 and 2024 and for the years ended December 31, 2025 and 2024, as set forth in their report included herein. The report of Weinberg &amp; Company, P.A. contains an explanatory paragraph about the ability of the Company to continue as a going concern. The consolidated financial statements of the Company are included in this Prospectus and elsewhere in this registration statement in reliance of Weinberg &amp; Company, P.A.’s report, given 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1_024"/>
      <w:bookmarkEnd w:id="2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S-1, including exhibits, under the Securities Act of 1933, as amended, with respect to the shares of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Exchange Act reporting company and are required to file periodic reports on Form 10-K and 10-Q and current reports on Form 8-K. The SEC maintains an internet website that contains reports, proxy and information statements, and other information regarding issuers that file electronically with the SEC, including the Company, at www.sec.gov/EDGAR. You may also access our reports and proxy statements free of charge at our website, zapataquantum.com. The contents of our website are not part of this Prospectus, and the reference to our website does not constitute incorporation by reference into this Prospectus of the information contained on or through that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a copy of any of our filings, at no cost, by contacting us at: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1_025"/>
      <w:bookmarkEnd w:id="28"/>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2"/>
        <w:gridCol w:w="60"/>
        <w:gridCol w:w="377"/>
        <w:gridCol w:w="76"/>
      </w:tblGrid>
      <w:tr>
        <w:trPr/>
        <w:tc>
          <w:tcPr>
            <w:tcW w:w="969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Unaudited Condensed Financial Statements</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1">
              <w:r>
                <w:rPr>
                  <w:rStyle w:val="InternetLink"/>
                  <w:rFonts w:ascii="Times New Roman;Times;Serif" w:hAnsi="Times New Roman;Times;Serif"/>
                  <w:sz w:val="20"/>
                </w:rPr>
                <w:t>Condensed Consolidated Balance Sheets as of March 31, 2026 and December 31, 2025</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F-2</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2">
              <w:r>
                <w:rPr>
                  <w:rStyle w:val="InternetLink"/>
                  <w:rFonts w:ascii="Times New Roman;Times;Serif" w:hAnsi="Times New Roman;Times;Serif"/>
                  <w:sz w:val="20"/>
                </w:rPr>
                <w:t>Condensed Consolidated Statements of Operations and Comprehensive Loss for the Three Months Ended March 31, 2026 and 2025</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F-3</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3">
              <w:r>
                <w:rPr>
                  <w:rStyle w:val="InternetLink"/>
                  <w:rFonts w:ascii="Times New Roman;Times;Serif" w:hAnsi="Times New Roman;Times;Serif"/>
                  <w:sz w:val="20"/>
                </w:rPr>
                <w:t>Condensed Consolidated Statements of Changes of Stockholders’ Deficit for the Three Months Ended March 31, 2026 and 2025</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F-4</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4">
              <w:r>
                <w:rPr>
                  <w:rStyle w:val="InternetLink"/>
                  <w:rFonts w:ascii="Times New Roman;Times;Serif" w:hAnsi="Times New Roman;Times;Serif"/>
                  <w:sz w:val="20"/>
                </w:rPr>
                <w:t>Condensed Consolidated Statements of Cash Flows for the Three Months Ended March 31, 2026 and 2025</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F-5</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5">
              <w:r>
                <w:rPr>
                  <w:rStyle w:val="InternetLink"/>
                  <w:rFonts w:ascii="Times New Roman;Times;Serif" w:hAnsi="Times New Roman;Times;Serif"/>
                  <w:sz w:val="20"/>
                </w:rPr>
                <w:t>Notes to Condensed Consolidated Financial Statements</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F-6</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Audited Financial Statements</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xml:space="preserve"> (PCAOB ID #572)</w:t>
            </w:r>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F-14</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Consolidated Balance Sheets as of December 31, 2025 and 2024</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F-15</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Consolidated Statements of Operations and Comprehensive Income (Loss) for the Years Ended December 31, 2025 and 2024</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F-16</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Consolidated Statements of Changes of Stockholders’ Deficit for the Years Ended December 31, 2025 and 2024</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F-17</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Consolidated Statements of Cash Flows for the Years Ended December 31, 2025 and 2024</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F-18</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F-19</w:t>
            </w:r>
          </w:p>
        </w:tc>
        <w:tc>
          <w:tcPr>
            <w:tcW w:w="76"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q1_001"/>
      <w:bookmarkEnd w:id="29"/>
      <w:r>
        <w:rPr>
          <w:rFonts w:ascii="Times New Roman;Times;Serif" w:hAnsi="Times New Roman;Times;Serif"/>
          <w:b/>
          <w:i w:val="false"/>
          <w:caps w:val="false"/>
          <w:smallCaps w:val="false"/>
          <w:sz w:val="20"/>
        </w:rPr>
        <w:t xml:space="preserve">CONDENSED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7797"/>
        <w:gridCol w:w="60"/>
        <w:gridCol w:w="125"/>
        <w:gridCol w:w="977"/>
        <w:gridCol w:w="80"/>
        <w:gridCol w:w="60"/>
        <w:gridCol w:w="143"/>
        <w:gridCol w:w="867"/>
        <w:gridCol w:w="96"/>
      </w:tblGrid>
      <w:tr>
        <w:trPr/>
        <w:tc>
          <w:tcPr>
            <w:tcW w:w="7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r>
      <w:tr>
        <w:trPr/>
        <w:tc>
          <w:tcPr>
            <w:tcW w:w="77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96" w:type="dxa"/>
            <w:tcBorders/>
            <w:vAlign w:val="center"/>
          </w:tcPr>
          <w:p>
            <w:pPr>
              <w:pStyle w:val="TableContents"/>
              <w:bidi w:val="0"/>
              <w:spacing w:before="0" w:after="283"/>
              <w:jc w:val="left"/>
              <w:rPr/>
            </w:pPr>
            <w:r>
              <w:rPr/>
              <w:t> </w:t>
            </w:r>
          </w:p>
        </w:tc>
      </w:tr>
      <w:tr>
        <w:trPr/>
        <w:tc>
          <w:tcPr>
            <w:tcW w:w="7797"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77" w:type="dxa"/>
            <w:tcBorders/>
            <w:shd w:fill="FFFFFF" w:val="clear"/>
            <w:vAlign w:val="center"/>
          </w:tcPr>
          <w:p>
            <w:pPr>
              <w:pStyle w:val="TableContents"/>
              <w:bidi w:val="0"/>
              <w:spacing w:before="0" w:after="283"/>
              <w:jc w:val="right"/>
              <w:rPr>
                <w:sz w:val="20"/>
              </w:rPr>
            </w:pPr>
            <w:r>
              <w:rPr>
                <w:sz w:val="20"/>
              </w:rPr>
              <w:t>642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20"/>
              </w:rPr>
            </w:pPr>
            <w:r>
              <w:rPr>
                <w:sz w:val="20"/>
              </w:rPr>
              <w:t>$</w:t>
            </w:r>
          </w:p>
        </w:tc>
        <w:tc>
          <w:tcPr>
            <w:tcW w:w="867" w:type="dxa"/>
            <w:tcBorders/>
            <w:shd w:fill="FFFFFF" w:val="clear"/>
            <w:vAlign w:val="center"/>
          </w:tcPr>
          <w:p>
            <w:pPr>
              <w:pStyle w:val="TableContents"/>
              <w:bidi w:val="0"/>
              <w:spacing w:before="0" w:after="283"/>
              <w:jc w:val="right"/>
              <w:rPr>
                <w:sz w:val="20"/>
              </w:rPr>
            </w:pPr>
            <w:r>
              <w:rPr>
                <w:sz w:val="20"/>
              </w:rPr>
              <w:t>1,659</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181</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sz w:val="20"/>
              </w:rPr>
            </w:pPr>
            <w:r>
              <w:rPr>
                <w:sz w:val="20"/>
              </w:rPr>
              <w:t>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1,840</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432</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2,272</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b/>
                <w:sz w:val="20"/>
              </w:rPr>
            </w:pPr>
            <w:r>
              <w:rPr>
                <w:b/>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77" w:type="dxa"/>
            <w:tcBorders/>
            <w:shd w:fill="CCEEFF" w:val="clear"/>
            <w:vAlign w:val="center"/>
          </w:tcPr>
          <w:p>
            <w:pPr>
              <w:pStyle w:val="TableContents"/>
              <w:bidi w:val="0"/>
              <w:spacing w:before="0" w:after="283"/>
              <w:jc w:val="right"/>
              <w:rPr>
                <w:sz w:val="20"/>
              </w:rPr>
            </w:pPr>
            <w:r>
              <w:rPr>
                <w:sz w:val="20"/>
              </w:rPr>
              <w:t>4,070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20"/>
              </w:rPr>
            </w:pPr>
            <w:r>
              <w:rPr>
                <w:sz w:val="20"/>
              </w:rPr>
              <w:t>$</w:t>
            </w:r>
          </w:p>
        </w:tc>
        <w:tc>
          <w:tcPr>
            <w:tcW w:w="867" w:type="dxa"/>
            <w:tcBorders/>
            <w:shd w:fill="CCEEFF" w:val="clear"/>
            <w:vAlign w:val="center"/>
          </w:tcPr>
          <w:p>
            <w:pPr>
              <w:pStyle w:val="TableContents"/>
              <w:bidi w:val="0"/>
              <w:spacing w:before="0" w:after="283"/>
              <w:jc w:val="right"/>
              <w:rPr>
                <w:sz w:val="20"/>
              </w:rPr>
            </w:pPr>
            <w:r>
              <w:rPr>
                <w:sz w:val="20"/>
              </w:rPr>
              <w:t>3,963</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sz w:val="20"/>
              </w:rPr>
            </w:pPr>
            <w:r>
              <w:rPr>
                <w:sz w:val="20"/>
              </w:rPr>
              <w:t>1,547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1,764</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sz w:val="20"/>
              </w:rPr>
            </w:pPr>
            <w:r>
              <w:rPr>
                <w:sz w:val="20"/>
              </w:rPr>
              <w:t>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406</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Convertible promissory notes, current ($300 to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sz w:val="20"/>
              </w:rPr>
            </w:pPr>
            <w:r>
              <w:rPr>
                <w:sz w:val="20"/>
              </w:rPr>
              <w:t>3,227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3,133</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Senior secured notes, 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1,273</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10,539</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Commitments and contingencies (Note 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Convertible preferred stock (Series A), $0.0001 par value; 15,000 shares authorized; 15,000 and 15,000 shares issued and outstanding at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Convertible preferred stock (Series C), $0.0001 par value; 23,000 shares authorized; 11,983 and 11,983 shares issued and outstanding at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Common Stock, $0.0001 par value; 600,000,000 shares authorized; 172,318,506 and 172,318,506 shares issued and outstanding at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sz w:val="20"/>
              </w:rPr>
            </w:pPr>
            <w:r>
              <w:rPr>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17</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sz w:val="20"/>
              </w:rPr>
            </w:pPr>
            <w:r>
              <w:rPr>
                <w:sz w:val="20"/>
              </w:rPr>
              <w:t>110,449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110,211</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sz w:val="20"/>
              </w:rPr>
            </w:pPr>
            <w:r>
              <w:rPr>
                <w:sz w:val="20"/>
              </w:rPr>
              <w:t>(180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(162</w:t>
            </w:r>
          </w:p>
        </w:tc>
        <w:tc>
          <w:tcPr>
            <w:tcW w:w="96" w:type="dxa"/>
            <w:tcBorders/>
            <w:shd w:fill="CCEEFF" w:val="clear"/>
            <w:vAlign w:val="center"/>
          </w:tcPr>
          <w:p>
            <w:pPr>
              <w:pStyle w:val="TableContents"/>
              <w:bidi w:val="0"/>
              <w:spacing w:before="0" w:after="283"/>
              <w:jc w:val="left"/>
              <w:rPr>
                <w:sz w:val="20"/>
              </w:rPr>
            </w:pPr>
            <w:r>
              <w:rPr>
                <w:sz w:val="20"/>
              </w:rPr>
              <w:t>)</w:t>
            </w:r>
          </w:p>
        </w:tc>
      </w:tr>
      <w:tr>
        <w:trPr/>
        <w:tc>
          <w:tcPr>
            <w:tcW w:w="7797"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(119,643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(118,333</w:t>
            </w:r>
          </w:p>
        </w:tc>
        <w:tc>
          <w:tcPr>
            <w:tcW w:w="96" w:type="dxa"/>
            <w:tcBorders/>
            <w:shd w:fill="FFFFFF" w:val="clear"/>
            <w:vAlign w:val="center"/>
          </w:tcPr>
          <w:p>
            <w:pPr>
              <w:pStyle w:val="TableContents"/>
              <w:bidi w:val="0"/>
              <w:spacing w:before="0" w:after="283"/>
              <w:jc w:val="left"/>
              <w:rPr>
                <w:sz w:val="20"/>
              </w:rPr>
            </w:pPr>
            <w:r>
              <w:rPr>
                <w:sz w:val="20"/>
              </w:rPr>
              <w:t>)</w:t>
            </w:r>
          </w:p>
        </w:tc>
      </w:tr>
      <w:tr>
        <w:trPr/>
        <w:tc>
          <w:tcPr>
            <w:tcW w:w="7797" w:type="dxa"/>
            <w:tcBorders/>
            <w:shd w:fill="CCEEFF" w:val="clear"/>
            <w:vAlign w:val="center"/>
          </w:tcPr>
          <w:p>
            <w:pPr>
              <w:pStyle w:val="TableContents"/>
              <w:bidi w:val="0"/>
              <w:spacing w:before="0" w:after="283"/>
              <w:jc w:val="left"/>
              <w:rPr>
                <w:sz w:val="20"/>
              </w:rPr>
            </w:pPr>
            <w:r>
              <w:rPr>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(9,357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(8,267</w:t>
            </w:r>
          </w:p>
        </w:tc>
        <w:tc>
          <w:tcPr>
            <w:tcW w:w="96" w:type="dxa"/>
            <w:tcBorders/>
            <w:shd w:fill="CCEEFF" w:val="clear"/>
            <w:vAlign w:val="center"/>
          </w:tcPr>
          <w:p>
            <w:pPr>
              <w:pStyle w:val="TableContents"/>
              <w:bidi w:val="0"/>
              <w:spacing w:before="0" w:after="283"/>
              <w:jc w:val="left"/>
              <w:rPr>
                <w:sz w:val="20"/>
              </w:rPr>
            </w:pPr>
            <w:r>
              <w:rPr>
                <w:sz w:val="20"/>
              </w:rPr>
              <w:t>)</w:t>
            </w:r>
          </w:p>
        </w:tc>
      </w:tr>
      <w:tr>
        <w:trPr/>
        <w:tc>
          <w:tcPr>
            <w:tcW w:w="7797" w:type="dxa"/>
            <w:tcBorders/>
            <w:shd w:fill="FFFFFF" w:val="clear"/>
            <w:vAlign w:val="center"/>
          </w:tcPr>
          <w:p>
            <w:pPr>
              <w:pStyle w:val="TableContents"/>
              <w:bidi w:val="0"/>
              <w:spacing w:before="0" w:after="283"/>
              <w:jc w:val="left"/>
              <w:rPr>
                <w:sz w:val="20"/>
              </w:rPr>
            </w:pPr>
            <w:r>
              <w:rPr>
                <w:sz w:val="20"/>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2,272</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q1_002"/>
      <w:bookmarkEnd w:id="30"/>
      <w:r>
        <w:rPr>
          <w:rFonts w:ascii="Times New Roman;Times;Serif" w:hAnsi="Times New Roman;Times;Serif"/>
          <w:b/>
          <w:i w:val="false"/>
          <w:caps w:val="false"/>
          <w:smallCaps w:val="false"/>
          <w:sz w:val="20"/>
        </w:rPr>
        <w:t xml:space="preserve">CONDENSED CONSOLIDATED STATEMENTS OF OPERATIONS AND COMPREHENSIVE LOSS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tbl>
      <w:tblPr>
        <w:tblW w:w="8510" w:type="dxa"/>
        <w:jc w:val="left"/>
        <w:tblInd w:w="0" w:type="dxa"/>
        <w:tblLayout w:type="fixed"/>
        <w:tblCellMar>
          <w:top w:w="0" w:type="dxa"/>
          <w:left w:w="0" w:type="dxa"/>
          <w:bottom w:w="0" w:type="dxa"/>
          <w:right w:w="0" w:type="dxa"/>
        </w:tblCellMar>
      </w:tblPr>
      <w:tblGrid>
        <w:gridCol w:w="5960"/>
        <w:gridCol w:w="60"/>
        <w:gridCol w:w="125"/>
        <w:gridCol w:w="1055"/>
        <w:gridCol w:w="80"/>
        <w:gridCol w:w="60"/>
        <w:gridCol w:w="125"/>
        <w:gridCol w:w="950"/>
        <w:gridCol w:w="95"/>
      </w:tblGrid>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March 31,</w:t>
            </w:r>
          </w:p>
        </w:tc>
        <w:tc>
          <w:tcPr>
            <w:tcW w:w="95"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sz w:val="20"/>
              </w:rPr>
            </w:pPr>
            <w:r>
              <w:rPr>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sz w:val="20"/>
              </w:rPr>
            </w:pPr>
            <w:r>
              <w:rPr>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680</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680</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sz w:val="20"/>
              </w:rPr>
            </w:pPr>
            <w:r>
              <w:rPr>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(1,197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60" w:type="dxa"/>
            <w:tcBorders/>
            <w:shd w:fill="FFFFFF" w:val="clear"/>
            <w:vAlign w:val="center"/>
          </w:tcPr>
          <w:p>
            <w:pPr>
              <w:pStyle w:val="TableContents"/>
              <w:bidi w:val="0"/>
              <w:spacing w:before="0" w:after="283"/>
              <w:jc w:val="left"/>
              <w:rPr>
                <w:sz w:val="20"/>
              </w:rPr>
            </w:pPr>
            <w:r>
              <w:rPr>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60" w:type="dxa"/>
            <w:tcBorders/>
            <w:shd w:fill="FFFFFF" w:val="clear"/>
            <w:vAlign w:val="center"/>
          </w:tcPr>
          <w:p>
            <w:pPr>
              <w:pStyle w:val="TableContents"/>
              <w:bidi w:val="0"/>
              <w:spacing w:before="0" w:after="283"/>
              <w:jc w:val="left"/>
              <w:rPr>
                <w:sz w:val="20"/>
              </w:rPr>
            </w:pPr>
            <w:r>
              <w:rPr>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sz w:val="20"/>
              </w:rPr>
            </w:pPr>
            <w:r>
              <w:rPr>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60" w:type="dxa"/>
            <w:tcBorders/>
            <w:shd w:fill="FFFFFF" w:val="clear"/>
            <w:vAlign w:val="center"/>
          </w:tcPr>
          <w:p>
            <w:pPr>
              <w:pStyle w:val="TableContents"/>
              <w:bidi w:val="0"/>
              <w:spacing w:before="0" w:after="283"/>
              <w:jc w:val="left"/>
              <w:rPr>
                <w:sz w:val="20"/>
              </w:rPr>
            </w:pPr>
            <w:r>
              <w:rPr>
                <w:sz w:val="20"/>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(1,310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(770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60" w:type="dxa"/>
            <w:tcBorders/>
            <w:shd w:fill="CCEEFF" w:val="clear"/>
            <w:vAlign w:val="center"/>
          </w:tcPr>
          <w:p>
            <w:pPr>
              <w:pStyle w:val="TableContents"/>
              <w:bidi w:val="0"/>
              <w:spacing w:before="0" w:after="283"/>
              <w:jc w:val="left"/>
              <w:rPr>
                <w:sz w:val="20"/>
              </w:rPr>
            </w:pPr>
            <w:r>
              <w:rPr>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(1,310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(770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sz w:val="20"/>
              </w:rPr>
            </w:pPr>
            <w:r>
              <w:rPr>
                <w:sz w:val="20"/>
              </w:rPr>
              <w:t>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60" w:type="dxa"/>
            <w:tcBorders/>
            <w:shd w:fill="CCEEFF" w:val="clear"/>
            <w:vAlign w:val="center"/>
          </w:tcPr>
          <w:p>
            <w:pPr>
              <w:pStyle w:val="TableContents"/>
              <w:bidi w:val="0"/>
              <w:spacing w:before="0" w:after="283"/>
              <w:jc w:val="left"/>
              <w:rPr>
                <w:sz w:val="20"/>
              </w:rPr>
            </w:pPr>
            <w:r>
              <w:rPr>
                <w:sz w:val="20"/>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172,318,506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42,482,376</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55" w:type="dxa"/>
            <w:tcBorders/>
            <w:shd w:fill="CCEEFF" w:val="clear"/>
            <w:vAlign w:val="center"/>
          </w:tcPr>
          <w:p>
            <w:pPr>
              <w:pStyle w:val="TableContents"/>
              <w:bidi w:val="0"/>
              <w:spacing w:before="0" w:after="283"/>
              <w:jc w:val="right"/>
              <w:rPr>
                <w:sz w:val="20"/>
              </w:rPr>
            </w:pPr>
            <w:r>
              <w:rPr>
                <w:sz w:val="20"/>
              </w:rPr>
              <w:t>(1,310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(770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60" w:type="dxa"/>
            <w:tcBorders/>
            <w:shd w:fill="FFFFFF" w:val="clear"/>
            <w:vAlign w:val="center"/>
          </w:tcPr>
          <w:p>
            <w:pPr>
              <w:pStyle w:val="TableContents"/>
              <w:bidi w:val="0"/>
              <w:spacing w:before="0" w:after="283"/>
              <w:jc w:val="left"/>
              <w:rPr>
                <w:sz w:val="20"/>
              </w:rPr>
            </w:pPr>
            <w:r>
              <w:rPr>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60" w:type="dxa"/>
            <w:tcBorders/>
            <w:shd w:fill="CCEEFF" w:val="clear"/>
            <w:vAlign w:val="center"/>
          </w:tcPr>
          <w:p>
            <w:pPr>
              <w:pStyle w:val="TableContents"/>
              <w:bidi w:val="0"/>
              <w:spacing w:before="0" w:after="283"/>
              <w:jc w:val="left"/>
              <w:rPr>
                <w:sz w:val="20"/>
              </w:rPr>
            </w:pPr>
            <w:r>
              <w:rPr>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(784</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q1_003"/>
      <w:bookmarkEnd w:id="31"/>
      <w:r>
        <w:rPr>
          <w:rFonts w:ascii="Times New Roman;Times;Serif" w:hAnsi="Times New Roman;Times;Serif"/>
          <w:b/>
          <w:i w:val="false"/>
          <w:caps w:val="false"/>
          <w:smallCaps w:val="false"/>
          <w:sz w:val="20"/>
        </w:rPr>
        <w:t xml:space="preserve">CONDENSED CONSOLIDATED STATEMENTS OF CONVERTIBLE PREFERRED STOCK AND STOCKHOLDERS’ DEFICIT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March 31, 2026 and 2025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tbl>
      <w:tblPr>
        <w:tblW w:w="10205" w:type="dxa"/>
        <w:jc w:val="left"/>
        <w:tblInd w:w="0" w:type="dxa"/>
        <w:tblLayout w:type="fixed"/>
        <w:tblCellMar>
          <w:top w:w="0" w:type="dxa"/>
          <w:left w:w="0" w:type="dxa"/>
          <w:bottom w:w="0" w:type="dxa"/>
          <w:right w:w="0" w:type="dxa"/>
        </w:tblCellMar>
      </w:tblPr>
      <w:tblGrid>
        <w:gridCol w:w="2225"/>
        <w:gridCol w:w="60"/>
        <w:gridCol w:w="85"/>
        <w:gridCol w:w="738"/>
        <w:gridCol w:w="85"/>
        <w:gridCol w:w="85"/>
        <w:gridCol w:w="179"/>
        <w:gridCol w:w="426"/>
        <w:gridCol w:w="60"/>
        <w:gridCol w:w="60"/>
        <w:gridCol w:w="60"/>
        <w:gridCol w:w="920"/>
        <w:gridCol w:w="60"/>
        <w:gridCol w:w="60"/>
        <w:gridCol w:w="179"/>
        <w:gridCol w:w="426"/>
        <w:gridCol w:w="60"/>
        <w:gridCol w:w="60"/>
        <w:gridCol w:w="120"/>
        <w:gridCol w:w="665"/>
        <w:gridCol w:w="60"/>
        <w:gridCol w:w="60"/>
        <w:gridCol w:w="270"/>
        <w:gridCol w:w="860"/>
        <w:gridCol w:w="80"/>
        <w:gridCol w:w="60"/>
        <w:gridCol w:w="136"/>
        <w:gridCol w:w="829"/>
        <w:gridCol w:w="80"/>
        <w:gridCol w:w="60"/>
        <w:gridCol w:w="184"/>
        <w:gridCol w:w="814"/>
        <w:gridCol w:w="99"/>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Convertible Preferred</w:t>
              <w:br/>
              <w:t>Stock ($0.0001 par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16"/>
              </w:rPr>
            </w:pPr>
            <w:r>
              <w:rPr>
                <w:b/>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center"/>
              <w:rPr>
                <w:b/>
                <w:sz w:val="16"/>
              </w:rPr>
            </w:pPr>
            <w:r>
              <w:rPr>
                <w:b/>
                <w:sz w:val="16"/>
              </w:rPr>
              <w:t>Total</w:t>
              <w:br/>
              <w:t>Stockholders’</w:t>
            </w:r>
          </w:p>
        </w:tc>
        <w:tc>
          <w:tcPr>
            <w:tcW w:w="99"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99"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b/>
                <w:sz w:val="16"/>
              </w:rPr>
            </w:pPr>
            <w:r>
              <w:rPr>
                <w:b/>
                <w:sz w:val="16"/>
              </w:rPr>
              <w:t>Balances at December 31, 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sz w:val="16"/>
              </w:rPr>
            </w:pPr>
            <w:r>
              <w:rPr>
                <w:sz w:val="16"/>
              </w:rPr>
              <w:t>26,983</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172,318,506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sz w:val="16"/>
              </w:rPr>
            </w:pPr>
            <w:r>
              <w:rPr>
                <w:sz w:val="16"/>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110,211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(162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16"/>
              </w:rPr>
            </w:pPr>
            <w:r>
              <w:rPr>
                <w:sz w:val="16"/>
              </w:rPr>
              <w:t>$</w:t>
            </w:r>
          </w:p>
        </w:tc>
        <w:tc>
          <w:tcPr>
            <w:tcW w:w="829" w:type="dxa"/>
            <w:tcBorders/>
            <w:shd w:fill="CCEEFF" w:val="clear"/>
            <w:vAlign w:val="center"/>
          </w:tcPr>
          <w:p>
            <w:pPr>
              <w:pStyle w:val="TableContents"/>
              <w:bidi w:val="0"/>
              <w:spacing w:before="0" w:after="283"/>
              <w:jc w:val="right"/>
              <w:rPr>
                <w:sz w:val="16"/>
              </w:rPr>
            </w:pPr>
            <w:r>
              <w:rPr>
                <w:sz w:val="16"/>
              </w:rPr>
              <w:t>(118,333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16"/>
              </w:rPr>
            </w:pPr>
            <w:r>
              <w:rPr>
                <w:sz w:val="16"/>
              </w:rPr>
              <w:t>$</w:t>
            </w:r>
          </w:p>
        </w:tc>
        <w:tc>
          <w:tcPr>
            <w:tcW w:w="814" w:type="dxa"/>
            <w:tcBorders/>
            <w:shd w:fill="CCEEFF" w:val="clear"/>
            <w:vAlign w:val="center"/>
          </w:tcPr>
          <w:p>
            <w:pPr>
              <w:pStyle w:val="TableContents"/>
              <w:bidi w:val="0"/>
              <w:spacing w:before="0" w:after="283"/>
              <w:jc w:val="right"/>
              <w:rPr>
                <w:sz w:val="16"/>
              </w:rPr>
            </w:pPr>
            <w:r>
              <w:rPr>
                <w:sz w:val="16"/>
              </w:rPr>
              <w:t>(8,267</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2225" w:type="dxa"/>
            <w:tcBorders/>
            <w:shd w:fill="FFFFFF" w:val="clear"/>
            <w:vAlign w:val="center"/>
          </w:tcPr>
          <w:p>
            <w:pPr>
              <w:pStyle w:val="TableContents"/>
              <w:bidi w:val="0"/>
              <w:spacing w:before="0" w:after="283"/>
              <w:jc w:val="left"/>
              <w:rPr>
                <w:sz w:val="16"/>
              </w:rPr>
            </w:pPr>
            <w:r>
              <w:rPr>
                <w:sz w:val="16"/>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sz w:val="16"/>
              </w:rPr>
            </w:pPr>
            <w:r>
              <w:rPr>
                <w:sz w:val="16"/>
              </w:rPr>
              <w:t>238</w:t>
            </w:r>
          </w:p>
        </w:tc>
        <w:tc>
          <w:tcPr>
            <w:tcW w:w="99"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sz w:val="16"/>
              </w:rPr>
            </w:pPr>
            <w:r>
              <w:rPr>
                <w:sz w:val="16"/>
              </w:rPr>
              <w:t>(1,310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sz w:val="16"/>
              </w:rPr>
            </w:pPr>
            <w:r>
              <w:rPr>
                <w:sz w:val="16"/>
              </w:rPr>
              <w:t>(1,310</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2225" w:type="dxa"/>
            <w:tcBorders/>
            <w:shd w:fill="FFFFFF" w:val="clear"/>
            <w:vAlign w:val="center"/>
          </w:tcPr>
          <w:p>
            <w:pPr>
              <w:pStyle w:val="TableContents"/>
              <w:bidi w:val="0"/>
              <w:spacing w:before="0" w:after="283"/>
              <w:jc w:val="left"/>
              <w:rPr>
                <w:sz w:val="16"/>
              </w:rPr>
            </w:pPr>
            <w:r>
              <w:rPr>
                <w:sz w:val="16"/>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(18</w:t>
            </w:r>
          </w:p>
        </w:tc>
        <w:tc>
          <w:tcPr>
            <w:tcW w:w="99" w:type="dxa"/>
            <w:tcBorders/>
            <w:shd w:fill="FFFFFF" w:val="clear"/>
            <w:vAlign w:val="center"/>
          </w:tcPr>
          <w:p>
            <w:pPr>
              <w:pStyle w:val="TableContents"/>
              <w:bidi w:val="0"/>
              <w:spacing w:before="0" w:after="283"/>
              <w:jc w:val="left"/>
              <w:rPr>
                <w:sz w:val="16"/>
              </w:rPr>
            </w:pPr>
            <w:r>
              <w:rPr>
                <w:sz w:val="16"/>
              </w:rPr>
              <w:t>)</w:t>
            </w:r>
          </w:p>
        </w:tc>
      </w:tr>
      <w:tr>
        <w:trPr/>
        <w:tc>
          <w:tcPr>
            <w:tcW w:w="2225" w:type="dxa"/>
            <w:tcBorders/>
            <w:shd w:fill="CCEEFF" w:val="clear"/>
            <w:vAlign w:val="center"/>
          </w:tcPr>
          <w:p>
            <w:pPr>
              <w:pStyle w:val="TableContents"/>
              <w:bidi w:val="0"/>
              <w:spacing w:before="0" w:after="283"/>
              <w:jc w:val="left"/>
              <w:rPr>
                <w:b/>
                <w:sz w:val="16"/>
              </w:rPr>
            </w:pPr>
            <w:r>
              <w:rPr>
                <w:b/>
                <w:sz w:val="16"/>
              </w:rPr>
              <w:t>Balances at March 31, 2026</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26,983</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172,318,506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110,449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(180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(119,643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(9,357</w:t>
            </w:r>
          </w:p>
        </w:tc>
        <w:tc>
          <w:tcPr>
            <w:tcW w:w="99"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1"/>
        <w:gridCol w:w="60"/>
        <w:gridCol w:w="118"/>
        <w:gridCol w:w="502"/>
        <w:gridCol w:w="111"/>
        <w:gridCol w:w="111"/>
        <w:gridCol w:w="219"/>
        <w:gridCol w:w="510"/>
        <w:gridCol w:w="60"/>
        <w:gridCol w:w="60"/>
        <w:gridCol w:w="62"/>
        <w:gridCol w:w="871"/>
        <w:gridCol w:w="62"/>
        <w:gridCol w:w="62"/>
        <w:gridCol w:w="179"/>
        <w:gridCol w:w="426"/>
        <w:gridCol w:w="60"/>
        <w:gridCol w:w="60"/>
        <w:gridCol w:w="120"/>
        <w:gridCol w:w="665"/>
        <w:gridCol w:w="60"/>
        <w:gridCol w:w="60"/>
        <w:gridCol w:w="270"/>
        <w:gridCol w:w="860"/>
        <w:gridCol w:w="80"/>
        <w:gridCol w:w="60"/>
        <w:gridCol w:w="136"/>
        <w:gridCol w:w="829"/>
        <w:gridCol w:w="80"/>
        <w:gridCol w:w="60"/>
        <w:gridCol w:w="159"/>
        <w:gridCol w:w="841"/>
        <w:gridCol w:w="101"/>
      </w:tblGrid>
      <w:tr>
        <w:trPr/>
        <w:tc>
          <w:tcPr>
            <w:tcW w:w="22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1"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Convertible Preferred</w:t>
              <w:br/>
              <w:t>Stock ($0.0001 par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2"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16"/>
              </w:rPr>
            </w:pPr>
            <w:r>
              <w:rPr>
                <w:b/>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6"/>
              </w:rPr>
            </w:pPr>
            <w:r>
              <w:rPr>
                <w:b/>
                <w:sz w:val="16"/>
              </w:rPr>
              <w:t>Total</w:t>
              <w:br/>
              <w:t>Stockholders’</w:t>
            </w:r>
          </w:p>
        </w:tc>
        <w:tc>
          <w:tcPr>
            <w:tcW w:w="101" w:type="dxa"/>
            <w:tcBorders/>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101" w:type="dxa"/>
            <w:tcBorders/>
            <w:vAlign w:val="center"/>
          </w:tcPr>
          <w:p>
            <w:pPr>
              <w:pStyle w:val="TableContents"/>
              <w:bidi w:val="0"/>
              <w:spacing w:before="0" w:after="283"/>
              <w:jc w:val="left"/>
              <w:rPr/>
            </w:pPr>
            <w:r>
              <w:rPr/>
              <w:t> </w:t>
            </w:r>
          </w:p>
        </w:tc>
      </w:tr>
      <w:tr>
        <w:trPr/>
        <w:tc>
          <w:tcPr>
            <w:tcW w:w="2291" w:type="dxa"/>
            <w:tcBorders/>
            <w:shd w:fill="CCEEFF" w:val="clear"/>
            <w:vAlign w:val="center"/>
          </w:tcPr>
          <w:p>
            <w:pPr>
              <w:pStyle w:val="TableContents"/>
              <w:bidi w:val="0"/>
              <w:spacing w:before="0" w:after="283"/>
              <w:jc w:val="left"/>
              <w:rPr>
                <w:b/>
                <w:sz w:val="16"/>
              </w:rPr>
            </w:pPr>
            <w:r>
              <w:rPr>
                <w:b/>
                <w:sz w:val="16"/>
              </w:rPr>
              <w:t>Balances at December 31, 2024</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16"/>
              </w:rPr>
            </w:pPr>
            <w:r>
              <w:rPr>
                <w:sz w:val="16"/>
              </w:rPr>
              <w:t>$</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16"/>
              </w:rPr>
            </w:pPr>
            <w:r>
              <w:rPr>
                <w:sz w:val="16"/>
              </w:rPr>
              <w:t>43,589,506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sz w:val="16"/>
              </w:rPr>
            </w:pPr>
            <w:r>
              <w:rPr>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104,301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(109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16"/>
              </w:rPr>
            </w:pPr>
            <w:r>
              <w:rPr>
                <w:sz w:val="16"/>
              </w:rPr>
              <w:t>$</w:t>
            </w:r>
          </w:p>
        </w:tc>
        <w:tc>
          <w:tcPr>
            <w:tcW w:w="829" w:type="dxa"/>
            <w:tcBorders/>
            <w:shd w:fill="CCEEFF" w:val="clear"/>
            <w:vAlign w:val="center"/>
          </w:tcPr>
          <w:p>
            <w:pPr>
              <w:pStyle w:val="TableContents"/>
              <w:bidi w:val="0"/>
              <w:spacing w:before="0" w:after="283"/>
              <w:jc w:val="right"/>
              <w:rPr>
                <w:sz w:val="16"/>
              </w:rPr>
            </w:pPr>
            <w:r>
              <w:rPr>
                <w:sz w:val="16"/>
              </w:rPr>
              <w:t>(127,669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16"/>
              </w:rPr>
            </w:pPr>
            <w:r>
              <w:rPr>
                <w:sz w:val="16"/>
              </w:rPr>
              <w:t>$</w:t>
            </w:r>
          </w:p>
        </w:tc>
        <w:tc>
          <w:tcPr>
            <w:tcW w:w="841" w:type="dxa"/>
            <w:tcBorders/>
            <w:shd w:fill="CCEEFF" w:val="clear"/>
            <w:vAlign w:val="center"/>
          </w:tcPr>
          <w:p>
            <w:pPr>
              <w:pStyle w:val="TableContents"/>
              <w:bidi w:val="0"/>
              <w:spacing w:before="0" w:after="283"/>
              <w:jc w:val="right"/>
              <w:rPr>
                <w:sz w:val="16"/>
              </w:rPr>
            </w:pPr>
            <w:r>
              <w:rPr>
                <w:sz w:val="16"/>
              </w:rPr>
              <w:t>(23,473</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2291" w:type="dxa"/>
            <w:tcBorders/>
            <w:shd w:fill="FFFFFF" w:val="clear"/>
            <w:vAlign w:val="center"/>
          </w:tcPr>
          <w:p>
            <w:pPr>
              <w:pStyle w:val="TableContents"/>
              <w:bidi w:val="0"/>
              <w:spacing w:before="0" w:after="283"/>
              <w:jc w:val="left"/>
              <w:rPr>
                <w:sz w:val="16"/>
              </w:rPr>
            </w:pPr>
            <w:r>
              <w:rPr>
                <w:sz w:val="16"/>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16"/>
              </w:rPr>
            </w:pPr>
            <w:r>
              <w:rPr>
                <w:sz w:val="16"/>
              </w:rPr>
              <w:t>25,000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r>
      <w:tr>
        <w:trPr/>
        <w:tc>
          <w:tcPr>
            <w:tcW w:w="2291" w:type="dxa"/>
            <w:tcBorders/>
            <w:shd w:fill="CCEEFF" w:val="clear"/>
            <w:vAlign w:val="center"/>
          </w:tcPr>
          <w:p>
            <w:pPr>
              <w:pStyle w:val="TableContents"/>
              <w:bidi w:val="0"/>
              <w:spacing w:before="0" w:after="283"/>
              <w:jc w:val="left"/>
              <w:rPr>
                <w:sz w:val="16"/>
              </w:rPr>
            </w:pPr>
            <w:r>
              <w:rPr>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sz w:val="16"/>
              </w:rPr>
            </w:pPr>
            <w:r>
              <w:rPr>
                <w:sz w:val="16"/>
              </w:rPr>
              <w:t>44</w:t>
            </w:r>
          </w:p>
        </w:tc>
        <w:tc>
          <w:tcPr>
            <w:tcW w:w="101" w:type="dxa"/>
            <w:tcBorders/>
            <w:shd w:fill="CCEEFF" w:val="clear"/>
            <w:vAlign w:val="center"/>
          </w:tcPr>
          <w:p>
            <w:pPr>
              <w:pStyle w:val="TableContents"/>
              <w:bidi w:val="0"/>
              <w:spacing w:before="0" w:after="283"/>
              <w:jc w:val="left"/>
              <w:rPr/>
            </w:pPr>
            <w:r>
              <w:rPr/>
              <w:t> </w:t>
            </w:r>
          </w:p>
        </w:tc>
      </w:tr>
      <w:tr>
        <w:trPr/>
        <w:tc>
          <w:tcPr>
            <w:tcW w:w="2291"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sz w:val="16"/>
              </w:rPr>
            </w:pPr>
            <w:r>
              <w:rPr>
                <w:sz w:val="16"/>
              </w:rPr>
              <w:t>(770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sz w:val="16"/>
              </w:rPr>
            </w:pPr>
            <w:r>
              <w:rPr>
                <w:sz w:val="16"/>
              </w:rPr>
              <w:t>(770</w:t>
            </w:r>
          </w:p>
        </w:tc>
        <w:tc>
          <w:tcPr>
            <w:tcW w:w="101" w:type="dxa"/>
            <w:tcBorders/>
            <w:shd w:fill="FFFFFF" w:val="clear"/>
            <w:vAlign w:val="center"/>
          </w:tcPr>
          <w:p>
            <w:pPr>
              <w:pStyle w:val="TableContents"/>
              <w:bidi w:val="0"/>
              <w:spacing w:before="0" w:after="283"/>
              <w:jc w:val="left"/>
              <w:rPr>
                <w:sz w:val="16"/>
              </w:rPr>
            </w:pPr>
            <w:r>
              <w:rPr>
                <w:sz w:val="16"/>
              </w:rPr>
              <w:t>)</w:t>
            </w:r>
          </w:p>
        </w:tc>
      </w:tr>
      <w:tr>
        <w:trPr/>
        <w:tc>
          <w:tcPr>
            <w:tcW w:w="2291" w:type="dxa"/>
            <w:tcBorders/>
            <w:shd w:fill="CCEEFF" w:val="clear"/>
            <w:vAlign w:val="center"/>
          </w:tcPr>
          <w:p>
            <w:pPr>
              <w:pStyle w:val="TableContents"/>
              <w:bidi w:val="0"/>
              <w:spacing w:before="0" w:after="283"/>
              <w:jc w:val="left"/>
              <w:rPr>
                <w:sz w:val="16"/>
              </w:rPr>
            </w:pPr>
            <w:r>
              <w:rPr>
                <w:sz w:val="16"/>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(14</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2291" w:type="dxa"/>
            <w:tcBorders/>
            <w:shd w:fill="FFFFFF" w:val="clear"/>
            <w:vAlign w:val="center"/>
          </w:tcPr>
          <w:p>
            <w:pPr>
              <w:pStyle w:val="TableContents"/>
              <w:bidi w:val="0"/>
              <w:spacing w:before="0" w:after="283"/>
              <w:jc w:val="left"/>
              <w:rPr>
                <w:b/>
                <w:sz w:val="16"/>
              </w:rPr>
            </w:pPr>
            <w:r>
              <w:rPr>
                <w:b/>
                <w:sz w:val="16"/>
              </w:rPr>
              <w:t>Balances at March 31, 2025</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43,614,506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104,345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(123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(128,439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(24,213</w:t>
            </w:r>
          </w:p>
        </w:tc>
        <w:tc>
          <w:tcPr>
            <w:tcW w:w="101" w:type="dxa"/>
            <w:tcBorders/>
            <w:shd w:fill="FFFF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q1_004"/>
      <w:bookmarkEnd w:id="32"/>
      <w:r>
        <w:rPr>
          <w:rFonts w:ascii="Times New Roman;Times;Serif" w:hAnsi="Times New Roman;Times;Serif"/>
          <w:b/>
          <w:i w:val="false"/>
          <w:caps w:val="false"/>
          <w:smallCaps w:val="false"/>
          <w:sz w:val="20"/>
        </w:rPr>
        <w:t xml:space="preserve">CONDENSED CONSOLIDATED STATEMENTS OF CASH FLOWS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w:t>
      </w:r>
    </w:p>
    <w:tbl>
      <w:tblPr>
        <w:tblW w:w="8621" w:type="dxa"/>
        <w:jc w:val="left"/>
        <w:tblInd w:w="0" w:type="dxa"/>
        <w:tblLayout w:type="fixed"/>
        <w:tblCellMar>
          <w:top w:w="0" w:type="dxa"/>
          <w:left w:w="0" w:type="dxa"/>
          <w:bottom w:w="0" w:type="dxa"/>
          <w:right w:w="0" w:type="dxa"/>
        </w:tblCellMar>
      </w:tblPr>
      <w:tblGrid>
        <w:gridCol w:w="6365"/>
        <w:gridCol w:w="60"/>
        <w:gridCol w:w="197"/>
        <w:gridCol w:w="862"/>
        <w:gridCol w:w="126"/>
        <w:gridCol w:w="94"/>
        <w:gridCol w:w="197"/>
        <w:gridCol w:w="625"/>
        <w:gridCol w:w="95"/>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01"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For the Three Months Ended</w:t>
              <w:br/>
              <w:t>March 31,</w:t>
            </w:r>
          </w:p>
        </w:tc>
        <w:tc>
          <w:tcPr>
            <w:tcW w:w="9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26"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sz w:val="20"/>
              </w:rPr>
            </w:pPr>
            <w:r>
              <w:rPr>
                <w:sz w:val="20"/>
              </w:rPr>
              <w:t>$</w:t>
            </w:r>
          </w:p>
        </w:tc>
        <w:tc>
          <w:tcPr>
            <w:tcW w:w="862" w:type="dxa"/>
            <w:tcBorders/>
            <w:shd w:fill="FFFFFF" w:val="clear"/>
            <w:vAlign w:val="center"/>
          </w:tcPr>
          <w:p>
            <w:pPr>
              <w:pStyle w:val="TableContents"/>
              <w:bidi w:val="0"/>
              <w:spacing w:before="0" w:after="283"/>
              <w:jc w:val="right"/>
              <w:rPr>
                <w:sz w:val="20"/>
              </w:rPr>
            </w:pPr>
            <w:r>
              <w:rPr>
                <w:sz w:val="20"/>
              </w:rPr>
              <w:t>(1,310</w:t>
            </w:r>
          </w:p>
        </w:tc>
        <w:tc>
          <w:tcPr>
            <w:tcW w:w="126" w:type="dxa"/>
            <w:tcBorders/>
            <w:shd w:fill="FFFFFF" w:val="clear"/>
            <w:vAlign w:val="center"/>
          </w:tcPr>
          <w:p>
            <w:pPr>
              <w:pStyle w:val="TableContents"/>
              <w:bidi w:val="0"/>
              <w:spacing w:before="0" w:after="283"/>
              <w:jc w:val="left"/>
              <w:rPr>
                <w:sz w:val="20"/>
              </w:rPr>
            </w:pPr>
            <w:r>
              <w:rPr>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sz w:val="20"/>
              </w:rPr>
            </w:pPr>
            <w:r>
              <w:rPr>
                <w:sz w:val="20"/>
              </w:rPr>
              <w:t>$</w:t>
            </w:r>
          </w:p>
        </w:tc>
        <w:tc>
          <w:tcPr>
            <w:tcW w:w="625" w:type="dxa"/>
            <w:tcBorders/>
            <w:shd w:fill="FFFFFF" w:val="clear"/>
            <w:vAlign w:val="center"/>
          </w:tcPr>
          <w:p>
            <w:pPr>
              <w:pStyle w:val="TableContents"/>
              <w:bidi w:val="0"/>
              <w:spacing w:before="0" w:after="283"/>
              <w:jc w:val="right"/>
              <w:rPr>
                <w:sz w:val="20"/>
              </w:rPr>
            </w:pPr>
            <w:r>
              <w:rPr>
                <w:sz w:val="20"/>
              </w:rPr>
              <w:t>(770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365" w:type="dxa"/>
            <w:tcBorders/>
            <w:shd w:fill="CCEEFF" w:val="clear"/>
            <w:vAlign w:val="center"/>
          </w:tcPr>
          <w:p>
            <w:pPr>
              <w:pStyle w:val="TableContents"/>
              <w:bidi w:val="0"/>
              <w:spacing w:before="0" w:after="283"/>
              <w:jc w:val="left"/>
              <w:rPr>
                <w:sz w:val="20"/>
              </w:rPr>
            </w:pPr>
            <w:r>
              <w:rPr>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sz w:val="20"/>
              </w:rPr>
            </w:pPr>
            <w:r>
              <w:rPr>
                <w:sz w:val="20"/>
              </w:rPr>
              <w:t>Non-cash interest expense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132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sz w:val="20"/>
              </w:rPr>
            </w:pPr>
            <w:r>
              <w:rPr>
                <w:sz w:val="20"/>
              </w:rPr>
              <w:t>525</w:t>
            </w:r>
          </w:p>
        </w:tc>
        <w:tc>
          <w:tcPr>
            <w:tcW w:w="95"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20"/>
              </w:rPr>
            </w:pPr>
            <w:r>
              <w:rPr>
                <w:sz w:val="20"/>
              </w:rPr>
              <w:t>238</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sz w:val="20"/>
              </w:rPr>
            </w:pPr>
            <w:r>
              <w:rPr>
                <w:sz w:val="20"/>
              </w:rPr>
              <w:t>44</w:t>
            </w:r>
          </w:p>
        </w:tc>
        <w:tc>
          <w:tcPr>
            <w:tcW w:w="95"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sz w:val="20"/>
              </w:rPr>
            </w:pPr>
            <w:r>
              <w:rPr>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sz w:val="20"/>
              </w:rPr>
            </w:pPr>
            <w:r>
              <w:rPr>
                <w:sz w:val="20"/>
              </w:rPr>
              <w:t>Prepaid expenses and other current and non-current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20"/>
              </w:rPr>
            </w:pPr>
            <w:r>
              <w:rPr>
                <w:sz w:val="20"/>
              </w:rPr>
              <w:t>51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sz w:val="20"/>
              </w:rPr>
            </w:pPr>
            <w:r>
              <w:rPr>
                <w:sz w:val="20"/>
              </w:rPr>
              <w:t>94</w:t>
            </w:r>
          </w:p>
        </w:tc>
        <w:tc>
          <w:tcPr>
            <w:tcW w:w="95"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sz w:val="20"/>
              </w:rPr>
            </w:pP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107</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sz w:val="20"/>
              </w:rPr>
            </w:pPr>
            <w:r>
              <w:rPr>
                <w:sz w:val="20"/>
              </w:rPr>
              <w:t>48</w:t>
            </w:r>
          </w:p>
        </w:tc>
        <w:tc>
          <w:tcPr>
            <w:tcW w:w="95"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sz w:val="20"/>
              </w:rPr>
            </w:pPr>
            <w:r>
              <w:rPr>
                <w:sz w:val="20"/>
              </w:rPr>
              <w:t>Accrued expenses and other current liabilities and other non-current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(217</w:t>
            </w:r>
          </w:p>
        </w:tc>
        <w:tc>
          <w:tcPr>
            <w:tcW w:w="126" w:type="dxa"/>
            <w:tcBorders/>
            <w:shd w:fill="CCEEFF" w:val="clear"/>
            <w:vAlign w:val="center"/>
          </w:tcPr>
          <w:p>
            <w:pPr>
              <w:pStyle w:val="TableContents"/>
              <w:bidi w:val="0"/>
              <w:spacing w:before="0" w:after="283"/>
              <w:jc w:val="left"/>
              <w:rPr>
                <w:sz w:val="20"/>
              </w:rPr>
            </w:pPr>
            <w:r>
              <w:rPr>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sz w:val="20"/>
              </w:rPr>
            </w:pPr>
            <w:r>
              <w:rPr>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(999</w:t>
            </w:r>
          </w:p>
        </w:tc>
        <w:tc>
          <w:tcPr>
            <w:tcW w:w="126" w:type="dxa"/>
            <w:tcBorders/>
            <w:shd w:fill="FFFFFF" w:val="clear"/>
            <w:vAlign w:val="center"/>
          </w:tcPr>
          <w:p>
            <w:pPr>
              <w:pStyle w:val="TableContents"/>
              <w:bidi w:val="0"/>
              <w:spacing w:before="0" w:after="283"/>
              <w:jc w:val="left"/>
              <w:rPr>
                <w:sz w:val="20"/>
              </w:rPr>
            </w:pPr>
            <w:r>
              <w:rPr>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365" w:type="dxa"/>
            <w:tcBorders/>
            <w:shd w:fill="CCEEFF" w:val="clear"/>
            <w:vAlign w:val="center"/>
          </w:tcPr>
          <w:p>
            <w:pPr>
              <w:pStyle w:val="TableContents"/>
              <w:bidi w:val="0"/>
              <w:spacing w:before="0" w:after="283"/>
              <w:jc w:val="left"/>
              <w:rPr>
                <w:b/>
                <w:sz w:val="20"/>
              </w:rPr>
            </w:pPr>
            <w:r>
              <w:rPr>
                <w:b/>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w:t>
            </w:r>
          </w:p>
        </w:tc>
        <w:tc>
          <w:tcPr>
            <w:tcW w:w="126" w:type="dxa"/>
            <w:tcBorders/>
            <w:shd w:fill="CCEEFF" w:val="clear"/>
            <w:vAlign w:val="center"/>
          </w:tcPr>
          <w:p>
            <w:pPr>
              <w:pStyle w:val="TableContents"/>
              <w:bidi w:val="0"/>
              <w:spacing w:before="0" w:after="283"/>
              <w:jc w:val="left"/>
              <w:rPr>
                <w:sz w:val="20"/>
              </w:rPr>
            </w:pPr>
            <w:r>
              <w:rPr>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365" w:type="dxa"/>
            <w:tcBorders/>
            <w:shd w:fill="FFFFFF" w:val="clear"/>
            <w:vAlign w:val="center"/>
          </w:tcPr>
          <w:p>
            <w:pPr>
              <w:pStyle w:val="TableContents"/>
              <w:bidi w:val="0"/>
              <w:spacing w:before="0" w:after="283"/>
              <w:jc w:val="left"/>
              <w:rPr>
                <w:b/>
                <w:sz w:val="20"/>
              </w:rPr>
            </w:pPr>
            <w:r>
              <w:rPr>
                <w:b/>
                <w:sz w:val="20"/>
              </w:rPr>
              <w:t>Net decrease in cash</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(1,017</w:t>
            </w:r>
          </w:p>
        </w:tc>
        <w:tc>
          <w:tcPr>
            <w:tcW w:w="126" w:type="dxa"/>
            <w:tcBorders/>
            <w:shd w:fill="FFFFFF" w:val="clear"/>
            <w:vAlign w:val="center"/>
          </w:tcPr>
          <w:p>
            <w:pPr>
              <w:pStyle w:val="TableContents"/>
              <w:bidi w:val="0"/>
              <w:spacing w:before="0" w:after="283"/>
              <w:jc w:val="left"/>
              <w:rPr>
                <w:sz w:val="20"/>
              </w:rPr>
            </w:pPr>
            <w:r>
              <w:rPr>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sz w:val="20"/>
              </w:rPr>
            </w:pPr>
            <w:r>
              <w:rPr>
                <w:sz w:val="20"/>
              </w:rPr>
              <w:t>(71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365" w:type="dxa"/>
            <w:tcBorders/>
            <w:shd w:fill="CCEEFF" w:val="clear"/>
            <w:vAlign w:val="center"/>
          </w:tcPr>
          <w:p>
            <w:pPr>
              <w:pStyle w:val="TableContents"/>
              <w:bidi w:val="0"/>
              <w:spacing w:before="0" w:after="283"/>
              <w:jc w:val="left"/>
              <w:rPr>
                <w:sz w:val="20"/>
              </w:rPr>
            </w:pPr>
            <w:r>
              <w:rPr>
                <w:sz w:val="20"/>
              </w:rPr>
              <w:t>Cash at beginning of period</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1,659</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359</w:t>
            </w:r>
          </w:p>
        </w:tc>
        <w:tc>
          <w:tcPr>
            <w:tcW w:w="95"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sz w:val="20"/>
              </w:rPr>
            </w:pPr>
            <w:r>
              <w:rPr>
                <w:sz w:val="20"/>
              </w:rPr>
              <w:t>Cash at end of period</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642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18"/>
        </w:rPr>
      </w:pPr>
      <w:r>
        <w:rPr>
          <w:rFonts w:ascii="Times New Roman;Times;Serif" w:hAnsi="Times New Roman;Times;Serif"/>
          <w:b/>
          <w:i w:val="false"/>
          <w:caps w:val="false"/>
          <w:smallCaps w:val="false"/>
          <w:color w:val="212529"/>
          <w:sz w:val="18"/>
        </w:rPr>
        <w:t>ZAPATA QUANTUM, INC.</w:t>
      </w:r>
    </w:p>
    <w:p>
      <w:pPr>
        <w:pStyle w:val="TextBody"/>
        <w:bidi w:val="0"/>
        <w:spacing w:before="0" w:after="0"/>
        <w:ind w:left="0" w:right="0" w:hanging="0"/>
        <w:jc w:val="center"/>
        <w:rPr>
          <w:rFonts w:ascii="Times New Roman;Times;Serif" w:hAnsi="Times New Roman;Times;Serif"/>
          <w:b/>
          <w:i w:val="false"/>
          <w:caps w:val="false"/>
          <w:smallCaps w:val="false"/>
          <w:color w:val="212529"/>
          <w:sz w:val="18"/>
        </w:rPr>
      </w:pPr>
      <w:bookmarkStart w:id="33" w:name="q1_005"/>
      <w:bookmarkEnd w:id="33"/>
      <w:r>
        <w:rPr>
          <w:rFonts w:ascii="Times New Roman;Times;Serif" w:hAnsi="Times New Roman;Times;Serif"/>
          <w:b/>
          <w:i w:val="false"/>
          <w:caps w:val="false"/>
          <w:smallCaps w:val="false"/>
          <w:color w:val="212529"/>
          <w:sz w:val="18"/>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color w:val="212529"/>
          <w:sz w:val="18"/>
        </w:rPr>
      </w:pPr>
      <w:r>
        <w:rPr>
          <w:rFonts w:ascii="Times New Roman;Times;Serif" w:hAnsi="Times New Roman;Times;Serif"/>
          <w:b/>
          <w:i w:val="false"/>
          <w:caps w:val="false"/>
          <w:smallCaps w:val="false"/>
          <w:color w:val="212529"/>
          <w:sz w:val="18"/>
        </w:rPr>
        <w:t>(UNAUDITED)</w:t>
      </w:r>
    </w:p>
    <w:p>
      <w:pPr>
        <w:pStyle w:val="TextBody"/>
        <w:bidi w:val="0"/>
        <w:spacing w:before="0" w:after="0"/>
        <w:ind w:left="0" w:right="0" w:hanging="0"/>
        <w:jc w:val="center"/>
        <w:rPr>
          <w:rFonts w:ascii="Times New Roman;Times;Serif" w:hAnsi="Times New Roman;Times;Serif"/>
          <w:b/>
          <w:i w:val="false"/>
          <w:caps w:val="false"/>
          <w:smallCaps w:val="false"/>
          <w:color w:val="212529"/>
          <w:sz w:val="18"/>
        </w:rPr>
      </w:pPr>
      <w:r>
        <w:rPr>
          <w:rFonts w:ascii="Times New Roman;Times;Serif" w:hAnsi="Times New Roman;Times;Serif"/>
          <w:b/>
          <w:i w:val="false"/>
          <w:caps w:val="false"/>
          <w:smallCaps w:val="false"/>
          <w:color w:val="212529"/>
          <w:sz w:val="18"/>
        </w:rPr>
        <w:t>(Dollar amounts in thousands, except per share and share amounts)</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sz w:val="20"/>
              </w:rPr>
            </w:pPr>
            <w:r>
              <w:rPr>
                <w:b/>
                <w:sz w:val="20"/>
              </w:rPr>
              <w:t>1.</w:t>
            </w:r>
          </w:p>
        </w:tc>
        <w:tc>
          <w:tcPr>
            <w:tcW w:w="4070" w:type="dxa"/>
            <w:tcBorders/>
            <w:vAlign w:val="center"/>
          </w:tcPr>
          <w:p>
            <w:pPr>
              <w:pStyle w:val="TableContents"/>
              <w:bidi w:val="0"/>
              <w:spacing w:before="0" w:after="283"/>
              <w:jc w:val="left"/>
              <w:rPr>
                <w:b/>
                <w:sz w:val="20"/>
              </w:rPr>
            </w:pPr>
            <w:r>
              <w:rPr>
                <w:b/>
                <w:sz w:val="20"/>
              </w:rPr>
              <w:t>Nature of the Business and 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(the “Company”, “we”, “us”, or “our”), following a strategic realignment in 2025, offers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The Company has worked with Fortune 500 enterprises and government agencies to unlock the potential of quantum computing.</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of the Company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2025, filed with the SEC on March 31, 2026 (the “Annual Report”). The accompanying condensed consolidated financial statements are unaudited, and in the opinion of management, contain all adjustments, including normal recurring adjustments, necessary to present fairly the Company’s financial position as of March 31, 2026, and the results of its operations and its cash flows for the three months ended March 31, 2026 and 2025. The balance sheet as of December 31, 2025 is derived from the Company’s audited financial statements.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the settlement of liabilities and commitments in the normal course of business. For the three months ended March 31, 2026, the Company recorded a net loss of $1,310, used cash in operations of $999 and had a stockholders’ deficit of $9,357 as of that date. As of March 31, 2026, the Company had a cash balance of $642. Cash used in operations was primarily from the Company’s operating losses, working capital, and investment in strategic growth initiatives. The Company has incurred significant losses and negative cash flows from operations since inception and expects to continue to incur losses and negative cash flows for the foreseeable future as the Company expands its penetration of the quantum computing application development market.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 Company’s management has evaluated whether there are certain conditions and events, considered in the aggregate, that raise substantial doubt about the Company’s ability to continue as a going concern within one year after the date that the condensed consolidated financial statements are issued.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sold and issued to accredited investors a total of 15,000 shares of Series D preferred stock (which are convertible into 34,160,784 shares of Common Stock, subject to adjustment) and Warrants to purchase up to 17,080,392 shares of Common Stock (representing 50% warrant coverage on an as-converted basis) for total gross proceeds of $15,000. The Company received net proceeds of $13,838 after deducting commissions and fees (see Note 12). The Company intends to use the net proceeds for working capital and general corporate purposes. As of the issuance date of these financial statements, management now expects that the Company’s existing cash will be sufficient to fund the Company’s current operating plan for at least twelve months from the date of issuance of these financial statements.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Management believes that it will be able to continue to raise funds by sale of its securities to provide the additional cash needed to meet the Company’s obligations, the restructuring activities aimed at restarting certain aspects of its core business require substantial funds to implement and there is no assurance that the Company will be able to continue raising the additional capital necessary to continue operations and execute on the Company’s business plan.</w:t>
      </w:r>
    </w:p>
    <w:p>
      <w:pPr>
        <w:pStyle w:val="TextBody"/>
        <w:bidi w:val="0"/>
        <w:spacing w:before="0" w:after="0"/>
        <w:ind w:left="0" w:right="0" w:firstLine="554"/>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Summary of Significant Accounting Policies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Estimates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preparation of the Company’s unaudited condensed consolidated financial statements in conformity with U.S. GAAP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periods. Significant estimates and assumptions reflected within these condensed consolidated financial statements include, but are not limited to, revenue recognition, , the valuation of the Company’s Common Stock, and the fair value of stock-based awards. The Company’s estimates are based on historical information available as of the date of the unaudited condensed consolidated financial statements and various other assumptions that the Company believes are reasonable under the circumstances. Actual results may differ materially from those estimates or assumptions.</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Issued Accounting Pronouncements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firstLine="554"/>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Accrued Expenses and Other Current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tbl>
      <w:tblPr>
        <w:tblW w:w="7530" w:type="dxa"/>
        <w:jc w:val="left"/>
        <w:tblInd w:w="0" w:type="dxa"/>
        <w:tblLayout w:type="fixed"/>
        <w:tblCellMar>
          <w:top w:w="0" w:type="dxa"/>
          <w:left w:w="0" w:type="dxa"/>
          <w:bottom w:w="0" w:type="dxa"/>
          <w:right w:w="0" w:type="dxa"/>
        </w:tblCellMar>
      </w:tblPr>
      <w:tblGrid>
        <w:gridCol w:w="5495"/>
        <w:gridCol w:w="60"/>
        <w:gridCol w:w="157"/>
        <w:gridCol w:w="613"/>
        <w:gridCol w:w="60"/>
        <w:gridCol w:w="60"/>
        <w:gridCol w:w="206"/>
        <w:gridCol w:w="804"/>
        <w:gridCol w:w="75"/>
      </w:tblGrid>
      <w:tr>
        <w:trPr/>
        <w:tc>
          <w:tcPr>
            <w:tcW w:w="5495" w:type="dxa"/>
            <w:tcBorders/>
            <w:vAlign w:val="center"/>
          </w:tcPr>
          <w:p>
            <w:pPr>
              <w:pStyle w:val="TableContents"/>
              <w:bidi w:val="0"/>
              <w:spacing w:before="0" w:after="283"/>
              <w:jc w:val="left"/>
              <w:rPr/>
            </w:pPr>
            <w:r>
              <w:rPr/>
              <w:t> </w:t>
            </w:r>
            <w:r>
              <w:rPr/>
              <w:t>Schedule of accrued expenses and other current liabilities</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75"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sz w:val="20"/>
              </w:rPr>
            </w:pPr>
            <w:r>
              <w:rPr>
                <w:sz w:val="20"/>
              </w:rPr>
              <w:t>Accrued employee compensation and benefit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20"/>
              </w:rPr>
            </w:pPr>
            <w:r>
              <w:rPr>
                <w:sz w:val="20"/>
              </w:rPr>
              <w:t>$</w:t>
            </w:r>
          </w:p>
        </w:tc>
        <w:tc>
          <w:tcPr>
            <w:tcW w:w="613" w:type="dxa"/>
            <w:tcBorders/>
            <w:shd w:fill="CCEEFF" w:val="clear"/>
            <w:vAlign w:val="center"/>
          </w:tcPr>
          <w:p>
            <w:pPr>
              <w:pStyle w:val="TableContents"/>
              <w:bidi w:val="0"/>
              <w:spacing w:before="0" w:after="283"/>
              <w:jc w:val="right"/>
              <w:rPr>
                <w:sz w:val="20"/>
              </w:rPr>
            </w:pPr>
            <w:r>
              <w:rPr>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sz w:val="20"/>
              </w:rPr>
            </w:pPr>
            <w:r>
              <w:rPr>
                <w:sz w:val="20"/>
              </w:rPr>
              <w:t>$</w:t>
            </w:r>
          </w:p>
        </w:tc>
        <w:tc>
          <w:tcPr>
            <w:tcW w:w="804" w:type="dxa"/>
            <w:tcBorders/>
            <w:shd w:fill="CCEEFF" w:val="clear"/>
            <w:vAlign w:val="center"/>
          </w:tcPr>
          <w:p>
            <w:pPr>
              <w:pStyle w:val="TableContents"/>
              <w:bidi w:val="0"/>
              <w:spacing w:before="0" w:after="283"/>
              <w:jc w:val="right"/>
              <w:rPr>
                <w:sz w:val="20"/>
              </w:rPr>
            </w:pPr>
            <w:r>
              <w:rPr>
                <w:sz w:val="20"/>
              </w:rPr>
              <w:t>73</w:t>
            </w:r>
          </w:p>
        </w:tc>
        <w:tc>
          <w:tcPr>
            <w:tcW w:w="75"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sz w:val="20"/>
              </w:rPr>
            </w:pPr>
            <w:r>
              <w:rPr>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sz w:val="20"/>
              </w:rPr>
            </w:pPr>
            <w:r>
              <w:rPr>
                <w:sz w:val="20"/>
              </w:rPr>
              <w:t>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259</w:t>
            </w:r>
          </w:p>
        </w:tc>
        <w:tc>
          <w:tcPr>
            <w:tcW w:w="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sz w:val="20"/>
              </w:rPr>
            </w:pPr>
            <w:r>
              <w:rPr>
                <w:sz w:val="20"/>
              </w:rPr>
              <w:t>Refunds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sz w:val="20"/>
              </w:rPr>
            </w:pPr>
            <w:r>
              <w:rPr>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750</w:t>
            </w:r>
          </w:p>
        </w:tc>
        <w:tc>
          <w:tcPr>
            <w:tcW w:w="75"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682</w:t>
            </w:r>
          </w:p>
        </w:tc>
        <w:tc>
          <w:tcPr>
            <w:tcW w:w="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color w:val="CCEEFF"/>
                <w:sz w:val="20"/>
              </w:rPr>
            </w:pPr>
            <w:r>
              <w:rPr>
                <w:color w:val="CCEEF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outstanding as of March 31, 2026 and December 31, 2025 consisted of the following:</w:t>
      </w:r>
    </w:p>
    <w:tbl>
      <w:tblPr>
        <w:tblW w:w="8099" w:type="dxa"/>
        <w:jc w:val="left"/>
        <w:tblInd w:w="0" w:type="dxa"/>
        <w:tblLayout w:type="fixed"/>
        <w:tblCellMar>
          <w:top w:w="0" w:type="dxa"/>
          <w:left w:w="0" w:type="dxa"/>
          <w:bottom w:w="0" w:type="dxa"/>
          <w:right w:w="0" w:type="dxa"/>
        </w:tblCellMar>
      </w:tblPr>
      <w:tblGrid>
        <w:gridCol w:w="6065"/>
        <w:gridCol w:w="60"/>
        <w:gridCol w:w="157"/>
        <w:gridCol w:w="612"/>
        <w:gridCol w:w="60"/>
        <w:gridCol w:w="60"/>
        <w:gridCol w:w="206"/>
        <w:gridCol w:w="804"/>
        <w:gridCol w:w="75"/>
      </w:tblGrid>
      <w:tr>
        <w:trPr/>
        <w:tc>
          <w:tcPr>
            <w:tcW w:w="6065" w:type="dxa"/>
            <w:tcBorders/>
            <w:vAlign w:val="center"/>
          </w:tcPr>
          <w:p>
            <w:pPr>
              <w:pStyle w:val="TableContents"/>
              <w:bidi w:val="0"/>
              <w:spacing w:before="0" w:after="283"/>
              <w:jc w:val="left"/>
              <w:rPr/>
            </w:pPr>
            <w:r>
              <w:rPr/>
              <w:t> </w:t>
            </w:r>
            <w:r>
              <w:rPr/>
              <w:t>Schedule of the aggregate principal amount of debt outstanding</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75"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sz w:val="20"/>
              </w:rPr>
            </w:pPr>
            <w:r>
              <w:rPr>
                <w:sz w:val="20"/>
              </w:rPr>
              <w:t>Senior secured notes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20"/>
              </w:rPr>
            </w:pPr>
            <w:r>
              <w:rPr>
                <w:sz w:val="20"/>
              </w:rPr>
              <w:t>$</w:t>
            </w:r>
          </w:p>
        </w:tc>
        <w:tc>
          <w:tcPr>
            <w:tcW w:w="612" w:type="dxa"/>
            <w:tcBorders/>
            <w:shd w:fill="CCEEFF" w:val="clear"/>
            <w:vAlign w:val="center"/>
          </w:tcPr>
          <w:p>
            <w:pPr>
              <w:pStyle w:val="TableContents"/>
              <w:bidi w:val="0"/>
              <w:spacing w:before="0" w:after="283"/>
              <w:jc w:val="right"/>
              <w:rPr>
                <w:sz w:val="20"/>
              </w:rPr>
            </w:pPr>
            <w:r>
              <w:rPr>
                <w:sz w:val="20"/>
              </w:rPr>
              <w:t>1,311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sz w:val="20"/>
              </w:rPr>
            </w:pPr>
            <w:r>
              <w:rPr>
                <w:sz w:val="20"/>
              </w:rPr>
              <w:t>$</w:t>
            </w:r>
          </w:p>
        </w:tc>
        <w:tc>
          <w:tcPr>
            <w:tcW w:w="804" w:type="dxa"/>
            <w:tcBorders/>
            <w:shd w:fill="CCEEFF" w:val="clear"/>
            <w:vAlign w:val="center"/>
          </w:tcPr>
          <w:p>
            <w:pPr>
              <w:pStyle w:val="TableContents"/>
              <w:bidi w:val="0"/>
              <w:spacing w:before="0" w:after="283"/>
              <w:jc w:val="right"/>
              <w:rPr>
                <w:sz w:val="20"/>
              </w:rPr>
            </w:pPr>
            <w:r>
              <w:rPr>
                <w:sz w:val="20"/>
              </w:rPr>
              <w:t>1,273</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sz w:val="20"/>
              </w:rPr>
            </w:pPr>
            <w:r>
              <w:rPr>
                <w:sz w:val="20"/>
              </w:rPr>
              <w:t>Convertible promissory notes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3,133</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color w:val="CCEEFF"/>
                <w:sz w:val="20"/>
              </w:rPr>
            </w:pPr>
            <w:r>
              <w:rPr>
                <w:color w:val="CCEEFF"/>
                <w:sz w:val="20"/>
              </w:rPr>
              <w:t>Total Debt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4,406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Senior Secured Notes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Secured Notes bear interest at the compound rate of 15% per annum and are convertible at the option of each noteholder at $8.50 per share. The outstanding principal amount of the Senior Secured Notes and all accrued but unpaid interest will be due and payable at the maturity date, December 15, 2026, unless otherwise converted. While any Senior Secured Notes are outstanding, the Company cannot incur additional indebtedness for borrowed funds, except additional Senior Secured Notes, substantially similar notes or other debt instruments that are pari passu with or subordinate to the Senior Secured Notes.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aggregate principal and accrued interest outstanding under the Senior Secured Notes totaled $1,273. The Company recognized approximately $38 of interest expense for the three months ended March 31, 2026, which is included within interest expense in the condensed consolidated statements of operations and comprehensive income (loss). As of March 31, 2026, the aggregate principal and accrued interest outstanding under the Senior Secured Notes totaled $1,311.</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security purchase agreement with accredited investors pursuant to which the Company sold and issued secured convertible promissory notes (“Convertible Promissory Notes”) and warrants to purchase 37,500,000 shares of Common Stock (“Warrants”) for total gross proceeds of $3,000.</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bear simple interest at a rate of 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may not be prepaid before the maturity date without the written consent of the holder and is secured pursuant to a Security Agreement entered into concurrently with the issuance.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are convertible into 75,000,000 shares of the Company’s Common Stock at the option of the holder at any time prior to repayment. The conversion price is $0.04 per share, subject to customary anti-dilution adjustments for stock splits, stock dividends, combinations, or recapitalizations (the “Conversion Price”). Upon conversion, any unpaid accrued interest is automatically forgiven.</w:t>
      </w:r>
    </w:p>
    <w:p>
      <w:pPr>
        <w:pStyle w:val="TextBody"/>
        <w:bidi w:val="0"/>
        <w:spacing w:before="0" w:after="0"/>
        <w:ind w:left="0" w:right="0" w:firstLine="54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balance under the Convertible Promissory Notes automatically convert into Common Stock upon the closing of a Qualified Financing, which excludes the issuance of Preferred Shares, with aggregate gross proceeds of at least $5,000, at the Conversion Price. In the event of a Change of Control prior to maturity, the holder may elect to (i) have the outstanding principal and accrued interest repaid in full or (ii) convert the principal into shares of Common Stock at the Conversion Price. Accrued interest is forgiven upon such conversion.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written notice from the holder (or automatically upon certain bankruptcy-related events), the Convertible Promissory Notes become immediately due and payable, together with all accrued interest. Events of Default include (i) failure to pay principal or interest when due, (ii) breaches of covenants in the Convertible Promissory Notes or the Securities Purchase Agreement, (iii) bankruptcy or insolvency events, and (iv) defaults under other indebtedness exceeding $200.</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Promissory Notes, the Company incurred debt issuance costs totaling $75. These costs were recorded as a reduction to the carrying value of the Convertible Promissory Notes and are amortized to interest expense over the one-year term using the effective interest method. The effective interest rate on the Convertible Note is 12.64%.</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accounts for its Convertible Promissory Notes at amortized cost. No portion of the proceeds was allocated to the conversion features, as the embedded conversion options did not require separate derivative accounting and the notes were not issued at a premium subject to ASC 470. The fair value of the warrants issued in connection with the notes was not material.</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the Convertible Promissory Notes and accrued interest was $3,113 at December 31, 2025. The Company recognized approximately $75 of interest expense for the three months ended March 31, 2026, which is included within interest expense in the condensed consolidated statements of operations and comprehensive income (loss). Interest expense attributable to the amortization of debt issuance costs incurred with third-party financing arrangements was $19 and recorded to interest expense for the three months ended March 31, 2026. The balance of the Convertible Promissory Notes and accrued interest was $3,227 at March 31, 2026.</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Commitment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Forbearance Agreements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$45,000 and $55,000, respectively, in aggregate proceeds  . If the specified financing thresholds are not achieved, the corresponding contingent payments will not become due, and the related obligations will be permanently extinguished.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Forbearance Agreement, the creditors have each agreed to temporarily forbear from enforcing collection of the $1,887,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accounted for the $1,887 Overdue Amount that is now contingently payable as an extinguishment of debt due to management’s assessment that it is not probable that the Company reach the equity raising threshold that would require repayment of these amounts.</w:t>
        <w:b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 </w:t>
      </w:r>
    </w:p>
    <w:p>
      <w:pPr>
        <w:pStyle w:val="TextBody"/>
        <w:bidi w:val="0"/>
        <w:spacing w:lineRule="auto" w:line="288"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authorized, issued, and outstanding Series A Convertible Preferred Stock and their principal were as follows:</w:t>
      </w:r>
    </w:p>
    <w:tbl>
      <w:tblPr>
        <w:tblW w:w="10082" w:type="dxa"/>
        <w:jc w:val="left"/>
        <w:tblInd w:w="0" w:type="dxa"/>
        <w:tblLayout w:type="fixed"/>
        <w:tblCellMar>
          <w:top w:w="0" w:type="dxa"/>
          <w:left w:w="0" w:type="dxa"/>
          <w:bottom w:w="0" w:type="dxa"/>
          <w:right w:w="0" w:type="dxa"/>
        </w:tblCellMar>
      </w:tblPr>
      <w:tblGrid>
        <w:gridCol w:w="3845"/>
        <w:gridCol w:w="60"/>
        <w:gridCol w:w="69"/>
        <w:gridCol w:w="685"/>
        <w:gridCol w:w="60"/>
        <w:gridCol w:w="60"/>
        <w:gridCol w:w="76"/>
        <w:gridCol w:w="754"/>
        <w:gridCol w:w="60"/>
        <w:gridCol w:w="60"/>
        <w:gridCol w:w="112"/>
        <w:gridCol w:w="1122"/>
        <w:gridCol w:w="60"/>
        <w:gridCol w:w="60"/>
        <w:gridCol w:w="142"/>
        <w:gridCol w:w="553"/>
        <w:gridCol w:w="60"/>
        <w:gridCol w:w="60"/>
        <w:gridCol w:w="279"/>
        <w:gridCol w:w="581"/>
        <w:gridCol w:w="60"/>
        <w:gridCol w:w="60"/>
        <w:gridCol w:w="67"/>
        <w:gridCol w:w="1062"/>
        <w:gridCol w:w="75"/>
      </w:tblGrid>
      <w:tr>
        <w:trPr/>
        <w:tc>
          <w:tcPr>
            <w:tcW w:w="3845" w:type="dxa"/>
            <w:tcBorders/>
            <w:vAlign w:val="center"/>
          </w:tcPr>
          <w:p>
            <w:pPr>
              <w:pStyle w:val="TableContents"/>
              <w:bidi w:val="0"/>
              <w:spacing w:before="0" w:after="283"/>
              <w:jc w:val="center"/>
              <w:rPr/>
            </w:pPr>
            <w:r>
              <w:rPr/>
              <w:t> </w:t>
            </w:r>
            <w:r>
              <w:rPr/>
              <w:t>Summary of convertible preferred stock</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 2026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 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Issuable Upon</w:t>
              <w:br/>
              <w:t>Conversion</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20"/>
              </w:rPr>
            </w:pPr>
            <w:r>
              <w:rPr>
                <w:sz w:val="20"/>
              </w:rPr>
              <w:t>Series A Preferred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15,000,000</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is convertible into 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Convertible Preferred Stock</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authorized, issued, and outstanding Series C Convertible Preferred Stock and their principal were as follows:</w:t>
      </w:r>
    </w:p>
    <w:tbl>
      <w:tblPr>
        <w:tblW w:w="10082" w:type="dxa"/>
        <w:jc w:val="left"/>
        <w:tblInd w:w="0" w:type="dxa"/>
        <w:tblLayout w:type="fixed"/>
        <w:tblCellMar>
          <w:top w:w="0" w:type="dxa"/>
          <w:left w:w="0" w:type="dxa"/>
          <w:bottom w:w="0" w:type="dxa"/>
          <w:right w:w="0" w:type="dxa"/>
        </w:tblCellMar>
      </w:tblPr>
      <w:tblGrid>
        <w:gridCol w:w="3845"/>
        <w:gridCol w:w="60"/>
        <w:gridCol w:w="69"/>
        <w:gridCol w:w="685"/>
        <w:gridCol w:w="60"/>
        <w:gridCol w:w="60"/>
        <w:gridCol w:w="76"/>
        <w:gridCol w:w="754"/>
        <w:gridCol w:w="60"/>
        <w:gridCol w:w="60"/>
        <w:gridCol w:w="112"/>
        <w:gridCol w:w="1122"/>
        <w:gridCol w:w="60"/>
        <w:gridCol w:w="60"/>
        <w:gridCol w:w="142"/>
        <w:gridCol w:w="553"/>
        <w:gridCol w:w="60"/>
        <w:gridCol w:w="60"/>
        <w:gridCol w:w="279"/>
        <w:gridCol w:w="581"/>
        <w:gridCol w:w="60"/>
        <w:gridCol w:w="60"/>
        <w:gridCol w:w="67"/>
        <w:gridCol w:w="1062"/>
        <w:gridCol w:w="75"/>
      </w:tblGrid>
      <w:tr>
        <w:trPr/>
        <w:tc>
          <w:tcPr>
            <w:tcW w:w="3845" w:type="dxa"/>
            <w:tcBorders/>
            <w:vAlign w:val="center"/>
          </w:tcPr>
          <w:p>
            <w:pPr>
              <w:pStyle w:val="TableContents"/>
              <w:bidi w:val="0"/>
              <w:spacing w:before="0" w:after="283"/>
              <w:jc w:val="left"/>
              <w:rPr/>
            </w:pPr>
            <w:r>
              <w:rPr/>
              <w:t> </w:t>
            </w:r>
            <w:r>
              <w:rPr/>
              <w:t>Summary of convertible preferred stock</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 2026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 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Issuable Upon</w:t>
              <w:br/>
              <w:t>Conversion</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20"/>
              </w:rPr>
            </w:pPr>
            <w:r>
              <w:rPr>
                <w:sz w:val="20"/>
              </w:rPr>
              <w:t>Series C Preferred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11,983,000</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11,983,000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authorized 600,000,000 shares of $0.0001 par value Common Stock. Each share of Common Stock entitles the holder to one vote, together with the holders of the Series A and Series C Convertible Preferred Stock (on an as-converted basis), on all matters submitted to the stockholders for a vote. The holders of Common Stock are entitled to receive dividends, if any, as declared by the Company’s Board of Directors.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25,000 restricted stock units vested during the three months ended March 31, 2025, and the corresponding shares were issued upon vesting.</w:t>
      </w:r>
    </w:p>
    <w:p>
      <w:pPr>
        <w:pStyle w:val="TextBody"/>
        <w:bidi w:val="0"/>
        <w:spacing w:before="0" w:after="0"/>
        <w:ind w:left="0" w:right="0" w:firstLine="554"/>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Unvested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220" w:firstLine="4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March 28, 2024 of the business combination with Andretti Acquisition Corp. (“AAC”), 1,129,630 shares of Sponsor Shares became unvested and are subject to the forfeiture pursuant to the available cash provisions as described in the sponsor support agreement in contemplation of the Merger. All of the Unvested Shares will become vested if, within three 3 years of the closing, the volume-weighted average price of the Company’s Common Stock equals or exceeds $12.00 per share (as adjusted for stock splits, stock dividends, reorganizations and recapitalizations) for any 20 trading days within any 30-trading day period, or if there is a change of control of the Company. If neither of these events occur within three 3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No Unvested Shares vested during the three months ended March 31, 2026 or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 and Private Placement Warrants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trading days out of 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there were 11,499,982 and 11,499,982 Public Warrants outstanding, respectively. As of March 31, 2026 and December 31, 2025, there were 55,800,000 and 55,800,000 Private Placement Warrants outstanding, respectively. The Public Warrants and Private Placement Warrants qualify for equity classification in accordance with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Accordingly, the Warrants were initially measured at fair value and recorded within equity with no subsequent measures of changes in fair value.</w:t>
      </w:r>
    </w:p>
    <w:p>
      <w:pPr>
        <w:pStyle w:val="TextBody"/>
        <w:bidi w:val="0"/>
        <w:spacing w:before="0" w:after="0"/>
        <w:ind w:left="10" w:right="10" w:firstLine="508"/>
        <w:jc w:val="left"/>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activity during the three months ended March 31, 2026 is as follows:</w:t>
      </w:r>
    </w:p>
    <w:tbl>
      <w:tblPr>
        <w:tblW w:w="9578" w:type="dxa"/>
        <w:jc w:val="left"/>
        <w:tblInd w:w="0" w:type="dxa"/>
        <w:tblLayout w:type="fixed"/>
        <w:tblCellMar>
          <w:top w:w="0" w:type="dxa"/>
          <w:left w:w="0" w:type="dxa"/>
          <w:bottom w:w="0" w:type="dxa"/>
          <w:right w:w="0" w:type="dxa"/>
        </w:tblCellMar>
      </w:tblPr>
      <w:tblGrid>
        <w:gridCol w:w="4565"/>
        <w:gridCol w:w="60"/>
        <w:gridCol w:w="60"/>
        <w:gridCol w:w="950"/>
        <w:gridCol w:w="60"/>
        <w:gridCol w:w="60"/>
        <w:gridCol w:w="256"/>
        <w:gridCol w:w="783"/>
        <w:gridCol w:w="60"/>
        <w:gridCol w:w="60"/>
        <w:gridCol w:w="188"/>
        <w:gridCol w:w="1197"/>
        <w:gridCol w:w="60"/>
        <w:gridCol w:w="60"/>
        <w:gridCol w:w="189"/>
        <w:gridCol w:w="895"/>
        <w:gridCol w:w="75"/>
      </w:tblGrid>
      <w:tr>
        <w:trPr/>
        <w:tc>
          <w:tcPr>
            <w:tcW w:w="4565" w:type="dxa"/>
            <w:tcBorders/>
            <w:vAlign w:val="center"/>
          </w:tcPr>
          <w:p>
            <w:pPr>
              <w:pStyle w:val="TableContents"/>
              <w:bidi w:val="0"/>
              <w:spacing w:before="0" w:after="283"/>
              <w:jc w:val="left"/>
              <w:rPr/>
            </w:pPr>
            <w:r>
              <w:rPr/>
              <w:t>Schedule of effect of the reverse recapitalization</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Aggregate</w:t>
              <w:br/>
              <w:t>Intrinsic Value</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67,299,982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sz w:val="20"/>
              </w:rPr>
            </w:pPr>
            <w:r>
              <w:rPr>
                <w:sz w:val="20"/>
              </w:rPr>
              <w:t>$</w:t>
            </w:r>
          </w:p>
        </w:tc>
        <w:tc>
          <w:tcPr>
            <w:tcW w:w="783" w:type="dxa"/>
            <w:tcBorders/>
            <w:shd w:fill="CCEEFF" w:val="clear"/>
            <w:vAlign w:val="center"/>
          </w:tcPr>
          <w:p>
            <w:pPr>
              <w:pStyle w:val="TableContents"/>
              <w:bidi w:val="0"/>
              <w:spacing w:before="0" w:after="283"/>
              <w:jc w:val="right"/>
              <w:rPr>
                <w:sz w:val="20"/>
              </w:rPr>
            </w:pPr>
            <w:r>
              <w:rPr>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sz w:val="20"/>
              </w:rPr>
            </w:pPr>
            <w:r>
              <w:rPr>
                <w:sz w:val="20"/>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20"/>
              </w:rPr>
            </w:pPr>
            <w:r>
              <w:rPr>
                <w:sz w:val="20"/>
              </w:rPr>
              <w:t>$</w:t>
            </w:r>
          </w:p>
        </w:tc>
        <w:tc>
          <w:tcPr>
            <w:tcW w:w="895" w:type="dxa"/>
            <w:tcBorders/>
            <w:shd w:fill="CCEEFF" w:val="clear"/>
            <w:vAlign w:val="center"/>
          </w:tcPr>
          <w:p>
            <w:pPr>
              <w:pStyle w:val="TableContents"/>
              <w:bidi w:val="0"/>
              <w:spacing w:before="0" w:after="283"/>
              <w:jc w:val="right"/>
              <w:rPr>
                <w:sz w:val="20"/>
              </w:rPr>
            </w:pPr>
            <w:r>
              <w:rPr>
                <w:sz w:val="20"/>
              </w:rPr>
              <w:t>65,096</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Forfeited and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67,299,982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17,745</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Warrants vested and exercisable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66,399,982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17,367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fair market value of $0.42 per share on March 31, 2026, the intrinsic value attributed to exercisable and unexercised Common Stock warrants was $17,367 at March 31, 2026.</w:t>
      </w:r>
    </w:p>
    <w:p>
      <w:pPr>
        <w:pStyle w:val="TextBody"/>
        <w:bidi w:val="0"/>
        <w:spacing w:before="0" w:after="0"/>
        <w:ind w:left="0" w:right="0" w:firstLine="554"/>
        <w:jc w:val="left"/>
        <w:rPr>
          <w:caps w:val="false"/>
          <w:smallCaps w:val="false"/>
          <w:spacing w:val="-1"/>
        </w:rPr>
      </w:pPr>
      <w:r>
        <w:rPr>
          <w:caps w:val="false"/>
          <w:smallCaps w:val="false"/>
          <w:spacing w:val="-1"/>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As of March 31, 2026, there was no unrecognized compensation cost related</w:t>
      </w:r>
      <w:r>
        <w:rPr>
          <w:rFonts w:ascii="Times New Roman;Times;Serif" w:hAnsi="Times New Roman;Times;Serif"/>
          <w:b w:val="false"/>
          <w:i w:val="false"/>
          <w:caps w:val="false"/>
          <w:smallCaps w:val="false"/>
          <w:sz w:val="20"/>
        </w:rPr>
        <w:t xml:space="preserve"> to unvested warrants.</w:t>
      </w:r>
    </w:p>
    <w:p>
      <w:pPr>
        <w:pStyle w:val="TextBody"/>
        <w:bidi w:val="0"/>
        <w:spacing w:before="0" w:after="0"/>
        <w:ind w:left="0" w:right="0" w:firstLine="554"/>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during the three months ended March 31, 2026 is as follows:</w:t>
      </w:r>
    </w:p>
    <w:tbl>
      <w:tblPr>
        <w:tblW w:w="10205" w:type="dxa"/>
        <w:jc w:val="left"/>
        <w:tblInd w:w="0" w:type="dxa"/>
        <w:tblLayout w:type="fixed"/>
        <w:tblCellMar>
          <w:top w:w="0" w:type="dxa"/>
          <w:left w:w="0" w:type="dxa"/>
          <w:bottom w:w="0" w:type="dxa"/>
          <w:right w:w="0" w:type="dxa"/>
        </w:tblCellMar>
      </w:tblPr>
      <w:tblGrid>
        <w:gridCol w:w="5520"/>
        <w:gridCol w:w="60"/>
        <w:gridCol w:w="60"/>
        <w:gridCol w:w="950"/>
        <w:gridCol w:w="60"/>
        <w:gridCol w:w="60"/>
        <w:gridCol w:w="217"/>
        <w:gridCol w:w="665"/>
        <w:gridCol w:w="60"/>
        <w:gridCol w:w="60"/>
        <w:gridCol w:w="188"/>
        <w:gridCol w:w="1197"/>
        <w:gridCol w:w="60"/>
        <w:gridCol w:w="60"/>
        <w:gridCol w:w="158"/>
        <w:gridCol w:w="752"/>
        <w:gridCol w:w="78"/>
      </w:tblGrid>
      <w:tr>
        <w:trPr/>
        <w:tc>
          <w:tcPr>
            <w:tcW w:w="5520" w:type="dxa"/>
            <w:tcBorders/>
            <w:vAlign w:val="center"/>
          </w:tcPr>
          <w:p>
            <w:pPr>
              <w:pStyle w:val="TableContents"/>
              <w:bidi w:val="0"/>
              <w:spacing w:before="0" w:after="283"/>
              <w:jc w:val="left"/>
              <w:rPr/>
            </w:pPr>
            <w:r>
              <w:rPr/>
              <w:t> </w:t>
            </w:r>
            <w:r>
              <w:rPr/>
              <w:t>Summary of assumptions used in Black-Scholes option-pricing model to determine fair value of stock options granted</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5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Aggregate</w:t>
              <w:br/>
              <w:t>Intrinsic Value</w:t>
            </w:r>
          </w:p>
        </w:tc>
        <w:tc>
          <w:tcPr>
            <w:tcW w:w="78" w:type="dxa"/>
            <w:tcBorders/>
            <w:vAlign w:val="center"/>
          </w:tcPr>
          <w:p>
            <w:pPr>
              <w:pStyle w:val="TableContents"/>
              <w:bidi w:val="0"/>
              <w:spacing w:before="0" w:after="283"/>
              <w:jc w:val="left"/>
              <w:rPr/>
            </w:pPr>
            <w:r>
              <w:rPr/>
              <w:t> </w:t>
            </w:r>
          </w:p>
        </w:tc>
      </w:tr>
      <w:tr>
        <w:trPr/>
        <w:tc>
          <w:tcPr>
            <w:tcW w:w="5520" w:type="dxa"/>
            <w:tcBorders/>
            <w:shd w:fill="CCEEFF" w:val="clear"/>
            <w:vAlign w:val="center"/>
          </w:tcPr>
          <w:p>
            <w:pPr>
              <w:pStyle w:val="TableContents"/>
              <w:bidi w:val="0"/>
              <w:spacing w:before="0" w:after="283"/>
              <w:jc w:val="left"/>
              <w:rPr>
                <w:sz w:val="20"/>
              </w:rPr>
            </w:pPr>
            <w:r>
              <w:rPr>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39,003,451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20"/>
              </w:rPr>
            </w:pPr>
            <w:r>
              <w:rPr>
                <w:sz w:val="20"/>
              </w:rPr>
              <w:t>$</w:t>
            </w:r>
          </w:p>
        </w:tc>
        <w:tc>
          <w:tcPr>
            <w:tcW w:w="665" w:type="dxa"/>
            <w:tcBorders/>
            <w:shd w:fill="CCEEFF" w:val="clear"/>
            <w:vAlign w:val="center"/>
          </w:tcPr>
          <w:p>
            <w:pPr>
              <w:pStyle w:val="TableContents"/>
              <w:bidi w:val="0"/>
              <w:spacing w:before="0" w:after="283"/>
              <w:jc w:val="right"/>
              <w:rPr>
                <w:sz w:val="20"/>
              </w:rPr>
            </w:pPr>
            <w:r>
              <w:rPr>
                <w:sz w:val="20"/>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sz w:val="20"/>
              </w:rPr>
            </w:pPr>
            <w:r>
              <w:rPr>
                <w:sz w:val="20"/>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20"/>
              </w:rPr>
            </w:pPr>
            <w:r>
              <w:rPr>
                <w:sz w:val="20"/>
              </w:rPr>
              <w:t>$</w:t>
            </w:r>
          </w:p>
        </w:tc>
        <w:tc>
          <w:tcPr>
            <w:tcW w:w="752" w:type="dxa"/>
            <w:tcBorders/>
            <w:shd w:fill="CCEEFF" w:val="clear"/>
            <w:vAlign w:val="center"/>
          </w:tcPr>
          <w:p>
            <w:pPr>
              <w:pStyle w:val="TableContents"/>
              <w:bidi w:val="0"/>
              <w:spacing w:before="0" w:after="283"/>
              <w:jc w:val="right"/>
              <w:rPr>
                <w:sz w:val="20"/>
              </w:rPr>
            </w:pPr>
            <w:r>
              <w:rPr>
                <w:sz w:val="20"/>
              </w:rPr>
              <w:t>58,598</w:t>
            </w:r>
          </w:p>
        </w:tc>
        <w:tc>
          <w:tcPr>
            <w:tcW w:w="78" w:type="dxa"/>
            <w:tcBorders/>
            <w:shd w:fill="CCEEFF" w:val="clear"/>
            <w:vAlign w:val="center"/>
          </w:tcPr>
          <w:p>
            <w:pPr>
              <w:pStyle w:val="TableContents"/>
              <w:bidi w:val="0"/>
              <w:spacing w:before="0" w:after="283"/>
              <w:jc w:val="left"/>
              <w:rPr/>
            </w:pPr>
            <w:r>
              <w:rPr/>
              <w:t> </w:t>
            </w:r>
          </w:p>
        </w:tc>
      </w:tr>
      <w:tr>
        <w:trPr/>
        <w:tc>
          <w:tcPr>
            <w:tcW w:w="5520"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20"/>
              </w:rPr>
            </w:pPr>
            <w:r>
              <w:rPr>
                <w:sz w:val="20"/>
              </w:rPr>
              <w:t>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5520" w:type="dxa"/>
            <w:tcBorders/>
            <w:shd w:fill="CCEEFF" w:val="clear"/>
            <w:vAlign w:val="center"/>
          </w:tcPr>
          <w:p>
            <w:pPr>
              <w:pStyle w:val="TableContents"/>
              <w:bidi w:val="0"/>
              <w:spacing w:before="0" w:after="283"/>
              <w:jc w:val="left"/>
              <w:rPr>
                <w:sz w:val="20"/>
              </w:rPr>
            </w:pPr>
            <w:r>
              <w:rPr>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5520" w:type="dxa"/>
            <w:tcBorders/>
            <w:shd w:fill="FFFFFF" w:val="clear"/>
            <w:vAlign w:val="center"/>
          </w:tcPr>
          <w:p>
            <w:pPr>
              <w:pStyle w:val="TableContents"/>
              <w:bidi w:val="0"/>
              <w:spacing w:before="0" w:after="283"/>
              <w:jc w:val="left"/>
              <w:rPr>
                <w:sz w:val="20"/>
              </w:rPr>
            </w:pPr>
            <w:r>
              <w:rPr>
                <w:sz w:val="20"/>
              </w:rPr>
              <w:t>Forfeited and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5520" w:type="dxa"/>
            <w:tcBorders/>
            <w:shd w:fill="CCEEFF" w:val="clear"/>
            <w:vAlign w:val="center"/>
          </w:tcPr>
          <w:p>
            <w:pPr>
              <w:pStyle w:val="TableContents"/>
              <w:bidi w:val="0"/>
              <w:spacing w:before="0" w:after="283"/>
              <w:jc w:val="left"/>
              <w:rPr>
                <w:sz w:val="20"/>
              </w:rPr>
            </w:pPr>
            <w:r>
              <w:rPr>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39,653,451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13,031</w:t>
            </w:r>
          </w:p>
        </w:tc>
        <w:tc>
          <w:tcPr>
            <w:tcW w:w="78" w:type="dxa"/>
            <w:tcBorders/>
            <w:shd w:fill="CCEEFF" w:val="clear"/>
            <w:vAlign w:val="center"/>
          </w:tcPr>
          <w:p>
            <w:pPr>
              <w:pStyle w:val="TableContents"/>
              <w:bidi w:val="0"/>
              <w:spacing w:before="0" w:after="283"/>
              <w:jc w:val="left"/>
              <w:rPr/>
            </w:pPr>
            <w:r>
              <w:rPr/>
              <w:t> </w:t>
            </w:r>
          </w:p>
        </w:tc>
      </w:tr>
      <w:tr>
        <w:trPr/>
        <w:tc>
          <w:tcPr>
            <w:tcW w:w="5520" w:type="dxa"/>
            <w:tcBorders/>
            <w:shd w:fill="FFFFFF" w:val="clear"/>
            <w:vAlign w:val="center"/>
          </w:tcPr>
          <w:p>
            <w:pPr>
              <w:pStyle w:val="TableContents"/>
              <w:bidi w:val="0"/>
              <w:spacing w:before="0" w:after="283"/>
              <w:jc w:val="left"/>
              <w:rPr>
                <w:sz w:val="20"/>
              </w:rPr>
            </w:pPr>
            <w:r>
              <w:rPr>
                <w:sz w:val="20"/>
              </w:rPr>
              <w:t>Options vested and exercisable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2,176,432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granted options exercisable into 650,000 shares of its Common Stock to its advisors. The stock options vest over a weighted average 2.83 year period and are exercisable at a weighted average price of $0.97 per share with an average life expiration of ten 10 years. The total fair value of these options at the grant date was approximately $577,000, which was determined using a Black-Scholes option pricing model with the following average assumption: stock price of $0.92 per share, expected term of 6.00 years, volatility of 150%, dividend rate of 0%, and weighted average risk-free interest rate of 3.74%.</w:t>
      </w:r>
    </w:p>
    <w:p>
      <w:pPr>
        <w:pStyle w:val="TextBody"/>
        <w:bidi w:val="0"/>
        <w:spacing w:before="0" w:after="0"/>
        <w:ind w:left="0" w:right="0" w:firstLine="360"/>
        <w:jc w:val="left"/>
        <w:rPr>
          <w:caps w:val="false"/>
          <w:smallCaps w:val="false"/>
          <w:spacing w:val="-1"/>
        </w:rPr>
      </w:pPr>
      <w:r>
        <w:rPr>
          <w:caps w:val="false"/>
          <w:smallCaps w:val="false"/>
          <w:spacing w:val="-1"/>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As of March 31, 2026, there was $1,849 of total unrecognized compensation cost related</w:t>
      </w:r>
      <w:r>
        <w:rPr>
          <w:rFonts w:ascii="Times New Roman;Times;Serif" w:hAnsi="Times New Roman;Times;Serif"/>
          <w:b w:val="false"/>
          <w:i w:val="false"/>
          <w:caps w:val="false"/>
          <w:smallCaps w:val="false"/>
          <w:sz w:val="20"/>
        </w:rPr>
        <w:t xml:space="preserve"> to unvested stock options. The Company expects to recognize the unrecognized compensation amount over a remaining weighted-average period of 3.26 years. The fair value of stock options that vested during the three months ended March 31, 2026 and 2025, was $238 and $44,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fair market value of $0.42 per share on March 31, 2026, there was no intrinsic value attributed to exercisable and unexercised Common Stock options at March 31, 2026.</w:t>
      </w:r>
    </w:p>
    <w:p>
      <w:pPr>
        <w:pStyle w:val="TextBody"/>
        <w:bidi w:val="0"/>
        <w:spacing w:before="0" w:after="0"/>
        <w:ind w:left="0" w:right="0" w:firstLine="360"/>
        <w:jc w:val="left"/>
        <w:rPr>
          <w:caps w:val="false"/>
          <w:smallCaps w:val="false"/>
          <w:spacing w:val="-1"/>
        </w:rPr>
      </w:pPr>
      <w:r>
        <w:rPr>
          <w:caps w:val="false"/>
          <w:smallCaps w:val="false"/>
          <w:spacing w:val="-1"/>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following table below summarizes the classification of the Company’s stock-based compensation expense related to stock options and restricted</w:t>
      </w:r>
      <w:r>
        <w:rPr>
          <w:rFonts w:ascii="Times New Roman;Times;Serif" w:hAnsi="Times New Roman;Times;Serif"/>
          <w:b w:val="false"/>
          <w:i w:val="false"/>
          <w:caps w:val="false"/>
          <w:smallCaps w:val="false"/>
          <w:sz w:val="20"/>
        </w:rPr>
        <w:t xml:space="preserve"> Common Stock in the consolidated statements of operations and comprehensive loss:</w:t>
      </w:r>
    </w:p>
    <w:tbl>
      <w:tblPr>
        <w:tblW w:w="10205" w:type="dxa"/>
        <w:jc w:val="left"/>
        <w:tblInd w:w="0" w:type="dxa"/>
        <w:tblLayout w:type="fixed"/>
        <w:tblCellMar>
          <w:top w:w="0" w:type="dxa"/>
          <w:left w:w="0" w:type="dxa"/>
          <w:bottom w:w="0" w:type="dxa"/>
          <w:right w:w="0" w:type="dxa"/>
        </w:tblCellMar>
      </w:tblPr>
      <w:tblGrid>
        <w:gridCol w:w="7785"/>
        <w:gridCol w:w="60"/>
        <w:gridCol w:w="295"/>
        <w:gridCol w:w="794"/>
        <w:gridCol w:w="141"/>
        <w:gridCol w:w="141"/>
        <w:gridCol w:w="295"/>
        <w:gridCol w:w="616"/>
        <w:gridCol w:w="78"/>
      </w:tblGrid>
      <w:tr>
        <w:trPr/>
        <w:tc>
          <w:tcPr>
            <w:tcW w:w="7785" w:type="dxa"/>
            <w:tcBorders/>
            <w:vAlign w:val="center"/>
          </w:tcPr>
          <w:p>
            <w:pPr>
              <w:pStyle w:val="TableContents"/>
              <w:bidi w:val="0"/>
              <w:spacing w:before="0" w:after="283"/>
              <w:jc w:val="left"/>
              <w:rPr/>
            </w:pPr>
            <w:r>
              <w:rPr/>
              <w:t> </w:t>
            </w:r>
            <w:r>
              <w:rPr/>
              <w:t>Summary of the classification of the company's stock-based compensation expense</w:t>
            </w:r>
          </w:p>
        </w:tc>
        <w:tc>
          <w:tcPr>
            <w:tcW w:w="60" w:type="dxa"/>
            <w:tcBorders/>
            <w:vAlign w:val="center"/>
          </w:tcPr>
          <w:p>
            <w:pPr>
              <w:pStyle w:val="TableContents"/>
              <w:bidi w:val="0"/>
              <w:spacing w:before="0" w:after="283"/>
              <w:jc w:val="left"/>
              <w:rPr/>
            </w:pPr>
            <w:r>
              <w:rPr/>
              <w:t> </w:t>
            </w:r>
          </w:p>
        </w:tc>
        <w:tc>
          <w:tcPr>
            <w:tcW w:w="1089" w:type="dxa"/>
            <w:gridSpan w:val="2"/>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11"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82"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March 31,</w:t>
            </w:r>
          </w:p>
        </w:tc>
        <w:tc>
          <w:tcPr>
            <w:tcW w:w="78" w:type="dxa"/>
            <w:tcBorders/>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8" w:type="dxa"/>
            <w:tcBorders/>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20"/>
              </w:rPr>
            </w:pPr>
            <w:r>
              <w:rPr>
                <w:sz w:val="20"/>
              </w:rPr>
              <w:t>$</w:t>
            </w:r>
          </w:p>
        </w:tc>
        <w:tc>
          <w:tcPr>
            <w:tcW w:w="794" w:type="dxa"/>
            <w:tcBorders/>
            <w:shd w:fill="CCEEFF" w:val="clear"/>
            <w:vAlign w:val="center"/>
          </w:tcPr>
          <w:p>
            <w:pPr>
              <w:pStyle w:val="TableContents"/>
              <w:bidi w:val="0"/>
              <w:spacing w:before="0" w:after="283"/>
              <w:jc w:val="right"/>
              <w:rPr>
                <w:sz w:val="20"/>
              </w:rPr>
            </w:pPr>
            <w:r>
              <w:rPr>
                <w:sz w:val="20"/>
              </w:rPr>
              <w:t>87</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20"/>
              </w:rPr>
            </w:pPr>
            <w:r>
              <w:rPr>
                <w:sz w:val="20"/>
              </w:rPr>
              <w:t>$</w:t>
            </w:r>
          </w:p>
        </w:tc>
        <w:tc>
          <w:tcPr>
            <w:tcW w:w="616"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sz w:val="20"/>
              </w:rPr>
            </w:pPr>
            <w:r>
              <w:rPr>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5</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146</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w:t>
            </w:r>
          </w:p>
        </w:tc>
        <w:tc>
          <w:tcPr>
            <w:tcW w:w="78"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238</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a 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 Significant expense categories are not presented, as the expense information regularly provided to the CODM is presented on the same basis as the condensed consolidated statements of operations and comprehensive loss. The CODM relies on consolidated net loss as a comprehensive measure of the Company, considering all revenues and expenses, including cost of revenue, research and development expenses, general and administrative expenses and sales and marketing expenses, to assess the Company’s overall performance and inform strategic decisions on cost control, pricing and investments. Additionally, the CODM also reviews total assets to assess the Company's financial position and resource allocation. The measure of segment assets is reported on the condensed consolidated balance sheet as total consolidated assets. The Company’s long-lived assets consist primarily of property and equipment, net. As of March 31, 2026 the Company does not have material long-term assets outside the U.S.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Net 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The following table sets forth the computation of basic and diluted net loss per common share attributable to stockholders:</w:t>
      </w:r>
    </w:p>
    <w:p>
      <w:pPr>
        <w:pStyle w:val="TextBody"/>
        <w:bidi w:val="0"/>
        <w:spacing w:lineRule="atLeast" w:line="216" w:before="0" w:after="0"/>
        <w:ind w:left="0" w:right="0" w:firstLine="508"/>
        <w:jc w:val="left"/>
        <w:rPr>
          <w:caps w:val="false"/>
          <w:smallCaps w:val="false"/>
        </w:rPr>
      </w:pPr>
      <w:r>
        <w:rPr>
          <w:caps w:val="false"/>
          <w:smallCaps w:val="false"/>
        </w:rPr>
        <w:t> </w:t>
      </w:r>
    </w:p>
    <w:tbl>
      <w:tblPr>
        <w:tblW w:w="10100" w:type="dxa"/>
        <w:jc w:val="left"/>
        <w:tblInd w:w="0" w:type="dxa"/>
        <w:tblLayout w:type="fixed"/>
        <w:tblCellMar>
          <w:top w:w="0" w:type="dxa"/>
          <w:left w:w="0" w:type="dxa"/>
          <w:bottom w:w="0" w:type="dxa"/>
          <w:right w:w="0" w:type="dxa"/>
        </w:tblCellMar>
      </w:tblPr>
      <w:tblGrid>
        <w:gridCol w:w="7550"/>
        <w:gridCol w:w="60"/>
        <w:gridCol w:w="125"/>
        <w:gridCol w:w="1055"/>
        <w:gridCol w:w="80"/>
        <w:gridCol w:w="60"/>
        <w:gridCol w:w="125"/>
        <w:gridCol w:w="950"/>
        <w:gridCol w:w="95"/>
      </w:tblGrid>
      <w:tr>
        <w:trPr/>
        <w:tc>
          <w:tcPr>
            <w:tcW w:w="7550" w:type="dxa"/>
            <w:tcBorders/>
            <w:vAlign w:val="center"/>
          </w:tcPr>
          <w:p>
            <w:pPr>
              <w:pStyle w:val="TableContents"/>
              <w:bidi w:val="0"/>
              <w:spacing w:before="0" w:after="283"/>
              <w:jc w:val="left"/>
              <w:rPr/>
            </w:pPr>
            <w:r>
              <w:rPr/>
              <w:t> </w:t>
            </w:r>
            <w:r>
              <w:rPr/>
              <w:t>Schedule of potential common shares, presented based on amounts outstanding</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March 31,</w:t>
            </w:r>
          </w:p>
        </w:tc>
        <w:tc>
          <w:tcPr>
            <w:tcW w:w="95"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sz w:val="20"/>
              </w:rPr>
            </w:pPr>
            <w:r>
              <w:rPr>
                <w:sz w:val="20"/>
              </w:rPr>
              <w:t>Numerator:</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sz w:val="20"/>
              </w:rPr>
            </w:pPr>
            <w:r>
              <w:rPr>
                <w:sz w:val="20"/>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(770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550" w:type="dxa"/>
            <w:tcBorders/>
            <w:shd w:fill="FFFFFF" w:val="clear"/>
            <w:vAlign w:val="center"/>
          </w:tcPr>
          <w:p>
            <w:pPr>
              <w:pStyle w:val="TableContents"/>
              <w:bidi w:val="0"/>
              <w:spacing w:before="0" w:after="283"/>
              <w:jc w:val="left"/>
              <w:rPr>
                <w:sz w:val="20"/>
              </w:rPr>
            </w:pPr>
            <w:r>
              <w:rPr>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sz w:val="20"/>
              </w:rPr>
            </w:pPr>
            <w:r>
              <w:rPr>
                <w:sz w:val="20"/>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172,318,506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42,482,376</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sz w:val="20"/>
              </w:rPr>
            </w:pPr>
            <w:r>
              <w:rPr>
                <w:sz w:val="20"/>
              </w:rPr>
              <w:t xml:space="preserve">Net loss per share attributable to common stockholders, </w:t>
              <w:br/>
              <w:t>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55" w:type="dxa"/>
            <w:tcBorders/>
            <w:shd w:fill="CCEEFF" w:val="clear"/>
            <w:vAlign w:val="center"/>
          </w:tcPr>
          <w:p>
            <w:pPr>
              <w:pStyle w:val="TableContents"/>
              <w:bidi w:val="0"/>
              <w:spacing w:before="0" w:after="283"/>
              <w:jc w:val="right"/>
              <w:rPr>
                <w:sz w:val="20"/>
              </w:rPr>
            </w:pPr>
            <w:r>
              <w:rPr>
                <w:sz w:val="20"/>
              </w:rPr>
              <w:t>(0.01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(0.02</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lineRule="atLeast" w:line="216" w:before="0" w:after="0"/>
        <w:ind w:left="0" w:right="0" w:firstLine="508"/>
        <w:jc w:val="left"/>
        <w:rPr>
          <w:caps w:val="false"/>
          <w:smallCaps w:val="false"/>
        </w:rPr>
      </w:pPr>
      <w:r>
        <w:rPr>
          <w:caps w:val="false"/>
          <w:smallCaps w:val="false"/>
        </w:rPr>
        <w:t> </w:t>
      </w:r>
    </w:p>
    <w:p>
      <w:pPr>
        <w:pStyle w:val="TextBody"/>
        <w:bidi w:val="0"/>
        <w:spacing w:before="0" w:after="0"/>
        <w:ind w:left="84" w:right="84"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Company excluded the following potential common shares, presented based on amounts outstanding at each period end, from the computation</w:t>
      </w:r>
      <w:r>
        <w:rPr>
          <w:rFonts w:ascii="Times New Roman;Times;Serif" w:hAnsi="Times New Roman;Times;Serif"/>
          <w:b w:val="false"/>
          <w:i w:val="false"/>
          <w:caps w:val="false"/>
          <w:smallCaps w:val="false"/>
          <w:sz w:val="20"/>
        </w:rPr>
        <w:t xml:space="preserve"> of diluted net loss per share for the periods indicated:</w:t>
      </w:r>
    </w:p>
    <w:tbl>
      <w:tblPr>
        <w:tblW w:w="10205" w:type="dxa"/>
        <w:jc w:val="left"/>
        <w:tblInd w:w="0" w:type="dxa"/>
        <w:tblLayout w:type="fixed"/>
        <w:tblCellMar>
          <w:top w:w="0" w:type="dxa"/>
          <w:left w:w="0" w:type="dxa"/>
          <w:bottom w:w="0" w:type="dxa"/>
          <w:right w:w="0" w:type="dxa"/>
        </w:tblCellMar>
      </w:tblPr>
      <w:tblGrid>
        <w:gridCol w:w="7510"/>
        <w:gridCol w:w="60"/>
        <w:gridCol w:w="60"/>
        <w:gridCol w:w="1220"/>
        <w:gridCol w:w="60"/>
        <w:gridCol w:w="60"/>
        <w:gridCol w:w="60"/>
        <w:gridCol w:w="1100"/>
        <w:gridCol w:w="75"/>
      </w:tblGrid>
      <w:tr>
        <w:trPr/>
        <w:tc>
          <w:tcPr>
            <w:tcW w:w="7510" w:type="dxa"/>
            <w:tcBorders/>
            <w:vAlign w:val="center"/>
          </w:tcPr>
          <w:p>
            <w:pPr>
              <w:pStyle w:val="TableContents"/>
              <w:bidi w:val="0"/>
              <w:spacing w:before="0" w:after="283"/>
              <w:jc w:val="center"/>
              <w:rPr>
                <w:sz w:val="24"/>
              </w:rPr>
            </w:pPr>
            <w:r>
              <w:rPr>
                <w:sz w:val="24"/>
              </w:rPr>
              <w:t>Schedule of potential common shares, presented based on amounts outstanding </w:t>
            </w:r>
          </w:p>
        </w:tc>
        <w:tc>
          <w:tcPr>
            <w:tcW w:w="60" w:type="dxa"/>
            <w:tcBorders/>
            <w:vAlign w:val="center"/>
          </w:tcPr>
          <w:p>
            <w:pPr>
              <w:pStyle w:val="TableContents"/>
              <w:bidi w:val="0"/>
              <w:spacing w:before="0" w:after="283"/>
              <w:jc w:val="left"/>
              <w:rPr/>
            </w:pPr>
            <w:r>
              <w:rPr/>
              <w:t> </w:t>
            </w:r>
          </w:p>
        </w:tc>
        <w:tc>
          <w:tcPr>
            <w:tcW w:w="2560"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March 31,</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Series C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11,983,000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Senior Secured Notes, including accrued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272,135</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Convertible promissory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11,499,982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11,499,982</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Private Placement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55,800,000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13,550,000</w:t>
            </w:r>
          </w:p>
        </w:tc>
        <w:tc>
          <w:tcPr>
            <w:tcW w:w="75" w:type="dxa"/>
            <w:tcBorders/>
            <w:shd w:fill="FFFFFF" w:val="clear"/>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Unvested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1,129,630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1,129,630</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Stock options to purchase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39,653,451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1,103,451</w:t>
            </w:r>
          </w:p>
        </w:tc>
        <w:tc>
          <w:tcPr>
            <w:tcW w:w="75" w:type="dxa"/>
            <w:tcBorders/>
            <w:shd w:fill="FFFFFF" w:val="clear"/>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210,245,298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27,580,198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subsequent to March 31, 2026 and through June 4, 2026, which represents the date these unaudited condensed consolidated financial statements were available to be issued.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April 2026, the Company sold and issued to accredited investors a total of 15,000 shares of Series D preferred shares (which are convertible into 34,160,784 shares of Common Stock, subject to adjustment) and Warrants to purchase up to 17,080,392 shares of Common Stock (representing 50% warrant coverage on an as-converted basis) for total gross proceeds of $15,000. The Company received net proceeds of $13,838 after deducting commissions and fees. The Company intends to use the net proceeds for working capital and general corporate purposes.</w:t>
      </w:r>
    </w:p>
    <w:p>
      <w:pPr>
        <w:pStyle w:val="TextBody"/>
        <w:bidi w:val="0"/>
        <w:spacing w:before="0" w:after="0"/>
        <w:ind w:left="0" w:right="0" w:firstLine="554"/>
        <w:jc w:val="left"/>
        <w:rPr>
          <w:caps w:val="false"/>
          <w:smallCaps w:val="false"/>
          <w:shd w:fill="FFFFFF" w:val="clear"/>
        </w:rPr>
      </w:pPr>
      <w:r>
        <w:rPr>
          <w:caps w:val="false"/>
          <w:smallCaps w:val="false"/>
          <w:shd w:fill="FFFFFF" w:val="clear"/>
        </w:rPr>
        <w:t> </w:t>
      </w:r>
    </w:p>
    <w:p>
      <w:pPr>
        <w:pStyle w:val="TextBody"/>
        <w:bidi w:val="0"/>
        <w:spacing w:before="0" w:after="0"/>
        <w:ind w:left="0" w:right="0" w:firstLine="554"/>
        <w:jc w:val="left"/>
        <w:rPr>
          <w:rFonts w:ascii="Times New Roman;Times;Serif" w:hAnsi="Times New Roman;Times;Serif"/>
          <w:b w:val="false"/>
          <w:i w:val="false"/>
          <w:caps w:val="false"/>
          <w:smallCaps w:val="false"/>
          <w:color w:val="212121"/>
          <w:sz w:val="20"/>
          <w:shd w:fill="FFFFFF" w:val="clear"/>
        </w:rPr>
      </w:pPr>
      <w:r>
        <w:rPr>
          <w:rFonts w:ascii="Times New Roman;Times;Serif" w:hAnsi="Times New Roman;Times;Serif"/>
          <w:b w:val="false"/>
          <w:i w:val="false"/>
          <w:caps w:val="false"/>
          <w:smallCaps w:val="false"/>
          <w:color w:val="212121"/>
          <w:sz w:val="20"/>
          <w:shd w:fill="FFFFFF" w:val="clear"/>
        </w:rPr>
        <w:t>Each share of Series D Convertible Preferred Stock is convertible into 2,278 shares of Common Stock of the Company at the election of the holder, subject to certain adjustments and to beneficial ownership limitations. Each share of Series D Convertible Preferred Stock shall be entitled to vote with the Company’s Common Stock on an as-converted basis, subject to beneficial ownership limitations. The holders of Series D Convertible Preferred Stock shall rank senior to the holders of Common Stock and all other preferred stock with respect to any liquidation, dissolution or winding up of the Company. The Series D Convertible Preferred Stock are not redeemable.</w:t>
      </w:r>
    </w:p>
    <w:p>
      <w:pPr>
        <w:pStyle w:val="TextBody"/>
        <w:bidi w:val="0"/>
        <w:spacing w:before="0" w:after="0"/>
        <w:ind w:left="0" w:right="0" w:firstLine="554"/>
        <w:jc w:val="left"/>
        <w:rPr>
          <w:caps w:val="false"/>
          <w:smallCaps w:val="false"/>
          <w:color w:val="212121"/>
          <w:shd w:fill="FFFFFF" w:val="clear"/>
        </w:rPr>
      </w:pPr>
      <w:r>
        <w:rPr>
          <w:caps w:val="false"/>
          <w:smallCaps w:val="false"/>
          <w:color w:val="212121"/>
          <w:shd w:fill="FFFFFF" w:val="clear"/>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connection with the Offering, the Company paid the Placement Agents: (i) a cash fee equal to 6% of the gross proceeds received by the Company in the Offering, and (ii) issued them warrants to purchase 2% of the shares of Common Stock issuable upon conversion of the Series D.</w:t>
      </w:r>
    </w:p>
    <w:p>
      <w:pPr>
        <w:pStyle w:val="TextBody"/>
        <w:bidi w:val="0"/>
        <w:spacing w:before="0" w:after="0"/>
        <w:ind w:left="0" w:right="0" w:firstLine="554"/>
        <w:jc w:val="left"/>
        <w:rPr>
          <w:caps w:val="false"/>
          <w:smallCaps w:val="false"/>
          <w:shd w:fill="FFFFFF" w:val="clear"/>
        </w:rPr>
      </w:pPr>
      <w:r>
        <w:rPr>
          <w:caps w:val="false"/>
          <w:smallCaps w:val="false"/>
          <w:shd w:fill="FFFFFF" w:val="clear"/>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part of the Offering, the Company entered into a Securities Purchase Agreement and Registration Rights Agreement with the investors. The terms of the Securities Purchase Agreement, Series D, Warrants, and Registration Rights Agreement were previously disclosed in the Current Report on Form 8-K filed on April 8, 2026.</w:t>
      </w:r>
    </w:p>
    <w:p>
      <w:pPr>
        <w:pStyle w:val="TextBody"/>
        <w:bidi w:val="0"/>
        <w:spacing w:before="0" w:after="0"/>
        <w:ind w:left="0" w:right="0" w:firstLine="554"/>
        <w:jc w:val="left"/>
        <w:rPr>
          <w:caps w:val="false"/>
          <w:smallCaps w:val="false"/>
          <w:shd w:fill="FFFFFF" w:val="clear"/>
        </w:rPr>
      </w:pPr>
      <w:r>
        <w:rPr>
          <w:caps w:val="false"/>
          <w:smallCaps w:val="false"/>
          <w:shd w:fill="FFFFFF" w:val="clear"/>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May 1, 2026, the Company voluntarily filed a registration statement on Form 8-A with the Securities and Exchange Commission to register the Company’s Common Stock pursuant to Section 12(g) of the Securities Exchange Act of 1934 (the Exchange Act”) to enable the Company to become a mandatory “reporting company” subject to the Exchange Act. As a mandatory “reporting company” the Company is now required to make periodic disclosures including, by filing annual reports on Form 10-K, Quarterly Reports on Form 10-Q and must promptly disclose certain important events on a Form 8-K in addition to being subject to other Exchange Act reporting obligations including the proxy rules.</w:t>
      </w:r>
      <w:r>
        <w:rPr>
          <w:rFonts w:ascii="Times New Roman;Times;Serif" w:hAnsi="Times New Roman;Times;Serif"/>
          <w:b w:val="false"/>
          <w:i w:val="false"/>
          <w:caps w:val="false"/>
          <w:smallCaps w:val="false"/>
          <w:sz w:val="20"/>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issued a total of 15,000,000 shares of Common Stock pursuant to the automatic conversion of 26,983 shares of Series A Convertible Preferred Stock upon completion of certain trigger events.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issued 10,415 shares of the Company’s Common Stock to a consultant pursuant to a stock option exercise.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the Company granted stock options exercisable into 910,000 shares of its Common Stock to its employees and advisors. The stock options are exercisable at an estimated weighted average price of $0.75 per share.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the maturity date of the Convertible Promissory Notes (see Note 4) was extended to June 2027.</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13"/>
      <w:bookmarkEnd w:id="3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Zapata Quantum, Inc. (the “Company”) as of December 31, 2025 and 2024, the related statements of operations and comprehensive income (loss), stockholders’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the Company has had recurring losses from operations since inception, incurred a net loss and used cash in operations during the year ended December 31, 2025, and had a stockholders’ deficiency as of that date. These matters raise substantial doubt about the Company’s ability to continue as a going concern. Management’s plans in regard to these matters are also described in Note 1 to the financial statements. These financial statements do not include any adjustments that might result from the outcome of this uncertainty.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14"/>
      <w:bookmarkEnd w:id="35"/>
      <w:r>
        <w:rPr>
          <w:rFonts w:ascii="Times New Roman;Times;Serif" w:hAnsi="Times New Roman;Times;Serif"/>
          <w:b/>
          <w:i w:val="false"/>
          <w:caps w:val="false"/>
          <w:smallCaps w:val="false"/>
          <w:sz w:val="20"/>
        </w:rPr>
        <w:t xml:space="preserve">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7890"/>
        <w:gridCol w:w="60"/>
        <w:gridCol w:w="143"/>
        <w:gridCol w:w="867"/>
        <w:gridCol w:w="80"/>
        <w:gridCol w:w="60"/>
        <w:gridCol w:w="143"/>
        <w:gridCol w:w="867"/>
        <w:gridCol w:w="95"/>
      </w:tblGrid>
      <w:tr>
        <w:trPr/>
        <w:tc>
          <w:tcPr>
            <w:tcW w:w="7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($0 and $1,567 from related parties,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($0 and $5,504 to related parties,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legal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 settlement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current ($300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party,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party,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preferred stock (Series A), $0.0001 par value; 15,000 and 0 shares authorized at December 31, 2025 and 2024, respectively; 15,000 and 0 shares issued and outstanding at December 31, 2025 and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preferred stock (Series C), $0.0001 par value; 23,000 and 0 shares authorized at December 31, 2025 and 2024, respectively; 11,983 and 0 shares issued and outstanding at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600,000,000 shares authorized; 172,318,506 and 43,589,506 shares issued and outstanding at December 31, 2025 and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15"/>
      <w:bookmarkEnd w:id="36"/>
      <w:r>
        <w:rPr>
          <w:rFonts w:ascii="Times New Roman;Times;Serif" w:hAnsi="Times New Roman;Times;Serif"/>
          <w:b/>
          <w:i w:val="false"/>
          <w:caps w:val="false"/>
          <w:smallCaps w:val="false"/>
          <w:sz w:val="20"/>
        </w:rPr>
        <w:t>CONSOLIDATED STATEMENTS OF OPERATIONS AND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tbl>
      <w:tblPr>
        <w:tblW w:w="9605" w:type="dxa"/>
        <w:jc w:val="left"/>
        <w:tblInd w:w="0" w:type="dxa"/>
        <w:tblLayout w:type="fixed"/>
        <w:tblCellMar>
          <w:top w:w="0" w:type="dxa"/>
          <w:left w:w="0" w:type="dxa"/>
          <w:bottom w:w="0" w:type="dxa"/>
          <w:right w:w="0" w:type="dxa"/>
        </w:tblCellMar>
      </w:tblPr>
      <w:tblGrid>
        <w:gridCol w:w="7055"/>
        <w:gridCol w:w="60"/>
        <w:gridCol w:w="125"/>
        <w:gridCol w:w="1055"/>
        <w:gridCol w:w="80"/>
        <w:gridCol w:w="60"/>
        <w:gridCol w:w="125"/>
        <w:gridCol w:w="950"/>
        <w:gridCol w:w="95"/>
      </w:tblGrid>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($0 and $1,300 from related parties,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($0 and $3,783 from related parties,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forward purchase agreement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senior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forward purchase agreement settlement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($2,610 and $0 from related parties,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forbearance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 attributable to Common Stockholders,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 attributable to Common Stockholders,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101,862,348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227,397,251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accompanying notes are an integral part of these consolidated financial statements.</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_016"/>
      <w:bookmarkEnd w:id="37"/>
      <w:r>
        <w:rPr>
          <w:rFonts w:ascii="Times New Roman;Times;Serif" w:hAnsi="Times New Roman;Times;Serif"/>
          <w:b/>
          <w:i w:val="false"/>
          <w:caps w:val="false"/>
          <w:smallCaps w:val="false"/>
          <w:sz w:val="20"/>
        </w:rPr>
        <w:t xml:space="preserve">CONSOLIDATED STATEMENTS OF STOCKHOLDERS’ DEFICIT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December 31, 2025 and 2024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thousands, except share amounts) </w:t>
      </w:r>
      <w:r>
        <w:rPr>
          <w:rFonts w:ascii="Times New Roman;Times;Serif" w:hAnsi="Times New Roman;Times;Serif"/>
          <w:b w:val="false"/>
          <w:i w:val="false"/>
          <w:caps w:val="false"/>
          <w:smallCaps w:val="false"/>
          <w:sz w:val="20"/>
        </w:rPr>
        <w:t> </w:t>
      </w:r>
    </w:p>
    <w:tbl>
      <w:tblPr>
        <w:tblW w:w="10205" w:type="dxa"/>
        <w:jc w:val="left"/>
        <w:tblInd w:w="0" w:type="dxa"/>
        <w:tblLayout w:type="fixed"/>
        <w:tblCellMar>
          <w:top w:w="0" w:type="dxa"/>
          <w:left w:w="0" w:type="dxa"/>
          <w:bottom w:w="0" w:type="dxa"/>
          <w:right w:w="0" w:type="dxa"/>
        </w:tblCellMar>
      </w:tblPr>
      <w:tblGrid>
        <w:gridCol w:w="1946"/>
        <w:gridCol w:w="60"/>
        <w:gridCol w:w="63"/>
        <w:gridCol w:w="944"/>
        <w:gridCol w:w="84"/>
        <w:gridCol w:w="63"/>
        <w:gridCol w:w="116"/>
        <w:gridCol w:w="609"/>
        <w:gridCol w:w="80"/>
        <w:gridCol w:w="60"/>
        <w:gridCol w:w="60"/>
        <w:gridCol w:w="920"/>
        <w:gridCol w:w="60"/>
        <w:gridCol w:w="60"/>
        <w:gridCol w:w="179"/>
        <w:gridCol w:w="426"/>
        <w:gridCol w:w="60"/>
        <w:gridCol w:w="60"/>
        <w:gridCol w:w="120"/>
        <w:gridCol w:w="665"/>
        <w:gridCol w:w="80"/>
        <w:gridCol w:w="60"/>
        <w:gridCol w:w="270"/>
        <w:gridCol w:w="860"/>
        <w:gridCol w:w="80"/>
        <w:gridCol w:w="60"/>
        <w:gridCol w:w="136"/>
        <w:gridCol w:w="829"/>
        <w:gridCol w:w="80"/>
        <w:gridCol w:w="60"/>
        <w:gridCol w:w="152"/>
        <w:gridCol w:w="802"/>
        <w:gridCol w:w="101"/>
      </w:tblGrid>
      <w:tr>
        <w:trPr/>
        <w:tc>
          <w:tcPr>
            <w:tcW w:w="19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r>
      <w:tr>
        <w:trPr/>
        <w:tc>
          <w:tcPr>
            <w:tcW w:w="19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 Preferred – Series A and C</w:t>
              <w:br/>
              <w:t>Stock ($0.0001 par</w:t>
              <w:br/>
              <w:t>value)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b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Balances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13,001,114</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64,716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4,678,950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(89,526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(10,226</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resulting from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47,183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on issuance of 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9,776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pursuant to the forward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(10,986</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related to the conversion of Senior Secured Notes (856,202 shares or $3,853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3,257,876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14,660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in connection with debt issuance costs related to senior secured notes and capital markets advisory agreements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42,372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pursuant to the equity 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13,078,780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8,564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redeemable convertible preferred stock into Common Stock in connection with the reverse 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(13,001,114</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(64,716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13,001,114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64,715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Commitment shares issued pursuant to the equity 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the reverse 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7,596,206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costs in connection with the reverse recapitalization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(7,058</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Partial early termination of the forward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under the 2024 Plan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Vesting of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(38,143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(38,143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Cumulative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Balances at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43,589,506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104,301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(127,669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(23,473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restricted stock units to officers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65,050,000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resulting from the Consent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in settlement of related party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5,407,000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lineRule="auto" w:line="276"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in settlement of Forward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6,591,000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resulting from the Conversion Agreements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17,681,000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Series A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Series C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11,983</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9,336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Cumulative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Balances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26,983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172,318,506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(118,333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(8,267</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17"/>
      <w:bookmarkEnd w:id="38"/>
      <w:r>
        <w:rPr>
          <w:rFonts w:ascii="Times New Roman;Times;Serif" w:hAnsi="Times New Roman;Times;Serif"/>
          <w:b/>
          <w:i w:val="false"/>
          <w:caps w:val="false"/>
          <w:smallCaps w:val="false"/>
          <w:sz w:val="20"/>
        </w:rPr>
        <w:t xml:space="preserve">CONSOLIDATED STATEMENTS OF CASH FLOWS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w:t>
      </w:r>
    </w:p>
    <w:tbl>
      <w:tblPr>
        <w:tblW w:w="10205" w:type="dxa"/>
        <w:jc w:val="left"/>
        <w:tblInd w:w="0" w:type="dxa"/>
        <w:tblLayout w:type="fixed"/>
        <w:tblCellMar>
          <w:top w:w="0" w:type="dxa"/>
          <w:left w:w="0" w:type="dxa"/>
          <w:bottom w:w="0" w:type="dxa"/>
          <w:right w:w="0" w:type="dxa"/>
        </w:tblCellMar>
      </w:tblPr>
      <w:tblGrid>
        <w:gridCol w:w="8239"/>
        <w:gridCol w:w="60"/>
        <w:gridCol w:w="142"/>
        <w:gridCol w:w="622"/>
        <w:gridCol w:w="91"/>
        <w:gridCol w:w="68"/>
        <w:gridCol w:w="142"/>
        <w:gridCol w:w="742"/>
        <w:gridCol w:w="99"/>
      </w:tblGrid>
      <w:tr>
        <w:trPr/>
        <w:tc>
          <w:tcPr>
            <w:tcW w:w="8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4"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8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82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8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9,366</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(38,143</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vendor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allowance for doubtful accounts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forward purchase agreement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senior secured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forward purchase agreement settlement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(9,117</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forbearance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line of credit commitment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fixed assets disposal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and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and 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legal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 settlement obligation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(1,665</w:t>
            </w:r>
          </w:p>
        </w:tc>
        <w:tc>
          <w:tcPr>
            <w:tcW w:w="9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(18,108</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Common Stock under equity 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reverse 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partial early termination of the forward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note payable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note payable -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for forward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(10,986</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paid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senior and senior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convertible notes,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Series A preferred stock,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3,018</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1,300</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(3,110</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1,659</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conversion of senior secured notes ($3,853 and $0 from related parties,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debt issuance costs related to senior secured notes and capital markets advisory agreements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senior secured notes in lieu of payments for offering costs and capital markets advisory agreements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included in accounts payable and 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in included in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preferred stock upon the reverse 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64,716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under the 2024 Equity and Incentive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 included in accounts payable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assumed from the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settlement of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settlement of forward purchase obligation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lineRule="auto" w:line="27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upon conversion of related party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Series C preferred stock in connection with settlement of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18"/>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18"/>
        </w:rPr>
      </w:pPr>
      <w:bookmarkStart w:id="39" w:name="a_018"/>
      <w:bookmarkEnd w:id="39"/>
      <w:r>
        <w:rPr>
          <w:rFonts w:ascii="Times New Roman;Times;Serif" w:hAnsi="Times New Roman;Times;Serif"/>
          <w:b/>
          <w:i w:val="false"/>
          <w:caps w:val="false"/>
          <w:smallCaps w:val="false"/>
          <w:sz w:val="18"/>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(Dollar amounts in thousands, except per share and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formerly known as Zapata Computing Holdings Inc. and, prior to that as, as Andretti Acquisition Corp. (“AAC”) was incorporated as a Cayman Islands exempted company on January 20, 2021. Effective August 21, 2025, Zapata Computing Holdings, Inc. changed its name to Zapata Quantum, Inc. On March 28, 2024, AAC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AAC was domesticated and continues as a Delaware corporation and changed its name to Zapata Computing Holdings Inc. AAC was formed for the purpose of effecting a merger, consolidation share exchange, asset acquisition, share purchase, reorganization or similar business combination with one or more businesses or entities. On March 28, 2024 (the “Closing Date” or “Closing”), AAC consummated a business combination with Zapata Computing, Inc. (“Legacy Zapata”) pursuant to the Business Combination Agreement by and among AAC, Tigre Merger Sub, Inc. and Legacy Zapata entered into on September 6, 2023 (the “Business Combination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is a holding company whose principal asset is its ownership interest in Legacy Zapata and operates and controls all of the businesses and operations of Legacy Zapata and its subsidiaries. Zapata Quantum, Inc. and its predecessor, AAC, are collectively referred to herein as “Zapata” or the “Company”. On the Closing Date, AAC and Legacy Zapata, consummated a business combination (the “Merger”) (Note 3) pursuant to the Business Combination Agreement. In connection with the Closing of the Merger, AAC changed its name to Zapata Computing Holdings Inc. The Company’s Common Stock and warrants commenced trading on the Nasdaq Global Market and the Nasdaq Capital Market, respectively, under the new trading symbols “ZPTA” and “ZPTAW”, respectively, on April 1, 2024. The Merger was accounted for as a reverse recapitalization in accordance with U.S. GAAP. Under this method of accounting, AAC, which was the legal acquirer, was treated as the “acquired” company for financial reporting purposes and Legacy Zapata, a direct wholly owned subsidiary of AAC, was treated as the accounting acquirer.</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equity structure has been restated in all comparative periods up to the Closing Date, to reflect the number of shares of the Company’s Common Stock, par value $0.0001, issued to Legacy Zapata’s stockholders in connection with the recapitalization transaction. As such, the Company’s Common Stock and the corresponding capital amounts and earnings per share related to Legacy Zapata’s Common Stock prior to the Merger have been retrospectively restated as shares reflecting the conversion upon the closing of the Merger calculated in accordance with the Business Combination Agreement by multiplying each share of Convertible Preferred Stock (as defined below) by 0.9141 (the “Exchange Ratio”).</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the Board of Directors of the Company approved the cessation of its operations (the “Operational Cessation”) due to insufficient financial resources to continue funding ongoing operations and meet existing obligations. In connection with the Operational Cessation, the Company terminated all employees, except for a limited number of personnel retained for a short transitional period to assist with the wind-down of business activities. Following the Operational Cessation, the Company maintained minimal day-to-day operations.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undertook restructuring activities aimed at restarting certain aspects of its core business (Notes 8, 9, and 10).</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2025, following a strategic realignment to refocus on its core quantum mission, the Company offers deliver subscription-based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Prior to October 31, 2025, the Company also offered specialized generative AI solutions which used techniques inspired by quantum physics and were tailored to solving complex industrial problems. These solutions combined software and related services and were subscription-based.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 The Company has incurred significant losses and negative cash flows from operations since the inception of Legacy Zapata in November 2017, expects to continue to incur losses and negative cash flows for the foreseeable future as the Company expands its penetration of the quantum computing application development market, and had a stockholders’ deficit as of December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F-19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December 31, 2025, the Company has financed its operations primarily through sales of its Convertible Preferred Stock, as defined below, and Common Stock and with issuances of Senior Notes and Senior Secured Notes, as defined below. The Company generated net income of $9,336 for the year ended December 31, 2025, and a net loss of $38,143 for the year ended December 31, 2024. As of December 31, 2025 and 2024, the Company had an accumulated deficit of $118,333 and $127,669,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upon the Company’s ability to raise capital through future equity or debt financing and generate profits from its operations. The Company is pursuing all available options for funding, which include seeking public or private investments and funding through the sale of equity or debt securities.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raised an aggregate of $2,925 through the issuance of Convertible Notes and $1,436 through the sale of Series A Convertible Preferred Stock. The proceeds from the Convertible Notes were used to repay one of the Company’s outstanding Senior Secured Notes. In addition, in 2025, the Company entered into conversion agreements with certain creditors to settle approximately $13,240 of accounts payable, accrued expenses, and notes payable to related parties. The Company also settled its obligation of $2,436 under the Forward Purchase Agreement through the issuance of shares of the Company’s Common Stock. The Company also entered into Forbearance Agreements extinguishing $1,887 due to two third-party creditors (Note 9). These activities were undertaken as part of the Company’s ongoing efforts to improve the Company’s capital structure and provide the liquidity necessary to support restarting certain aspects of its core business.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Management believes that it will be able to continue to raise funds by sale of its securities to provide the additional cash needed to meet the Company’s obligations, the ongoing execution and performance of its core business require substantial funds to implement and there is no assurance that the Company will be able to continue raising the additional capital necessary to continue operations and execute on the Company’s business plan.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 about the Company’s ability to continue as a going concern.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be necessary should the Company be unable to continue as a going concern. The Company has evaluated whether there are certain conditions and events, considered in the aggregate, that raise substantial doubt about the Company’s ability to continue as a going concern within one year after the date that the consolidated financial statements are issued. The Company has incurred significant losses and negative cash flows from operations since the inception of Legacy Zapata in November 2017 and expects to continue to incur losses and negative cash flows for the foreseeable future as the Company expands its penetration of the quantum computing application development solutions market.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F-20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Summary of Significant Accounting Policies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Basis of Presentation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The financial statements include the accounts of Zapata Quantum Inc, and its wholly owned subsidiaries Zapata Government Services, Inc., Zapata Computing Security Corporation, Zapata Computing Canada, Inc., Zapata Computing U.K. Limited, Zapata Japan, Inc., and Zapata Computing Spain, S.L. </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Estimates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periods. Significant estimates and assumptions reflected within these consolidated financial statements include, but are not limited to, revenue recognition, the Forward Purchase Agreement derivative liability, the valuation of the Company’s Common Stock, and the fair value of stock-based awards. The Company’s estimates are based on historical information available as of the date of the consolidated financial statements and various other assumptions that the Company believes are reasonable under the circumstances. Actual results may differ materially from those estimates or assumptions.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and Currency Translation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wholly owned foreign subsidiaries in Canada, Japan, Spain and the United Kingdom is United States dollars (“USD”), Japanese Yen, Euro and British Pound, respectively. Assets and liabilities of these subsidiaries are translated into USD at the exchange rate in effect on the balance sheet date. Income and expenses are translated at the average exchange rate in effect during the period. Unrealized translation gains and losses are recorded as a translation adjustment, which is included in the consolidated statements of stockholders’ deficit as a component of accumulated other comprehensive loss. Adjustments that arise from exchange rate changes on transactions denominated in a currency other than the local currency are included in other income (expense), net in the consolidated statements of operations and comprehensive loss.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subject the Company to credit risk consist primarily of cash and cash equivalents and accounts receivable. The Company maintains its cash and cash equivalents at high-quality and accredited financial institutions.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and generally requires no collateral to secure accounts receivable. Accounts receivable is presented after consideration of an allowance for credit losses, which is an estimate of amounts that may not be collectible. In determining the amount of the allowance at each reporting date, the Company makes judgments about general economic conditions, historical write-off experience and any specific risks identified in customer collection matters, including the aging of unpaid accounts receivable and changes in customer financial conditions. Account balances are written off after all means of collection are exhausted and the potential for recovery is determined to not be probable. As of December 31, 2025 and 2024, the Company recorded an allowance for credit losses of $28 and $0,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at the time of initial purchase to be cash equivalents. As of December 31, 2025 and 2024, the amount of cash equivalents included in cash and cash equivalents totaled $0 and $38,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F-21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consist primarily of property and equipment. Long-lived assets to be held and used are tested for recoverability whenever events or changes in business circumstances indicate that the carrying amount of the assets may not be fully recoverable.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is measured based on the excess of the carrying value of the impaired asset group over its fair value. The Company recognized no impairment losses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Legal Fees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fees consist of consideration to be paid to AAC’s legal advisors in connection with its initial public offering (“IPO”) and the consummation of the Merger. The deferred legal fees were payable in equal monthly installments over the twelve-month period beginning May 3, 2024. The Company ceased making payments in the fourth quarter of 2024 due to the Operational Cessation, and the remaining balance of $2,621 was subsequently converted into the Company’s Common Stock in the second quarter of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Segment Information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business as a single operating segment for the purposes of assessing performance and making operating decisions. The Company’s chief executive officer, who is the chief operating decision maker, reviews the Company’s financial information on a consolidated basis for purposes of evaluating financial performance and allocating resources. As of December 31, 2025 and 2024, the Company does not have material long-term assets outside the U.S.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Capitalization of Software Development Costs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software development costs related to development of its quantum computing platform. Given that the Company may sell the platform both as a service as well as a license, the Company evaluates software development costs to determine the point where technological feasibility is established. The Company has determined that technological feasibility is typically concurrently with the release, and therefore there have not been costs capitalized through December 31, 2025. Costs incurred in connection with maintenance and customer support are also expensed as incurred.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the Company satisfies a performance obligation by transferring goods or services promised in a contract to a customer, in an amount that reflects the consideration that the Company expects to receive in exchange for those goods or services. Performance obligations in contracts represent distinct or separate goods or services that the Company provides to customers.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using the following steps: 1) identification of the contract, or contracts with a customer, 2) identification of performance obligations in the contract, 3) determination of the transaction price, 4) allocation of the transaction price to the performance obligations in the contract and 5) recognition of revenue when or as the Company satisfies the performance obligations.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the Company assesses the goods and services promised in its contracts with customers and identifies a performance obligation for each promise to transfer to the customer a good or service (or bundle of goods or services) that is distinct.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F-22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primarily from subscriptions to its software platform and related services. Subscriptions to its software platform are currently offered as stand-ready access to its cloud environment on an annual or multi-year basis. The Company’s consulting services may result in either single or multiple performance obligations based on the contractual terms. The Company also offers services in the form of stand-ready scientific and software engineering services, which are typically only offered in conjunction with its software platform. The Company evaluates its contracts at inception to determine if the promises represent a single, combined performance obligation, or multiple performance obligations. It allocates the transaction price to the performance obligations identified. Judgment is required to allocate the transaction price to each performance obligation. The Company utilizes a stand-alone selling price methodology based on observable or estimated prices for each performance obligation. The Company considers market conditions, entity-specific factors, and information about the customer that is reasonably available to the entity when estimating stand-alone selling price for those performance obligations without an observable selling price. The Company’s contracts do not contain rights of return, and any variable consideration as the result of service level agreements has been immaterial. The Company does not have other contractual terms that give rise to variable consideration.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subscriptions to the Company’s Orquestra Platform to date have only been sold as access to the platform in its hosted environment and are therefore recognized over the contract term on a ratable basis, as the promise represents a stand-ready performance obligation.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consulting services is generally recognized over time. The Company’s contracts typically contain fixed-fee transaction prices. The Company determines and records a provision for loss contracts at the contract level when the current estimate of total costs of the contract at completion exceeds the total consideration the Company expects to receive. The Company has not recorded any provision for loss contracts at December 31, 2025 or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consulting services, the Company measures progress toward satisfaction of the performance obligation as the services are provided, and revenue is generally recognized based on the labor hours expended over time. Through this method, the Company recognizes revenue based on the actual labor hours incurred to date compared to the current estimate of total labors hours to satisfy the performance obligation. The Company believes this method best reflects the transfer of control to the customer. This method requires periodic updates to the total estimated hours to complete the contract, and these updates may include subjective assessments and judgments. The Company had limited contracts for which, based on the Company’s determination of the enforceability of payment terms, revenue was recognized at a point in time when payment became enforceable.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services sold in the form of stand-ready scientific and software engineering services are recognized over the contract term on a ratable basis, as the obligation represents a stand-ready obligation.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enter into arrangements to build license applications that can be used in conjunction with its Orquestra Platform or separately. To date, the license application built has been delivered as a perpetual license with associated post-contract support. The Company recognizes the license at the time of deployment, and the related post-contract support over the contracted service period on a ratable basis, as it is provided as a stand-ready service.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contract and do not contain significant financing components. Amounts collected in advance of revenue recognized are recorded as deferred revenue in the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includes expenses related to supporting product offerings. The Company’s primary cost of revenue is personnel costs, including salaries and other personnel-related expense. Cost of revenue also includes costs relating to the Company’s information technology and systems, including depreciation, network costs, data center maintenance, database management and data processing costs. The Company allocates these overhead expenses based on headcount, and thus these expenses are reflected in cost of revenue and each operating expense category.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F-23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expenses and overhead costs incurred in developing new products. The Company expenses all research and development costs as incurred.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 Expenses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expenses, which are included in sales and marketing expense in the consolidated statements of operations and comprehensive loss, primarily include promotional expenditures, and are expensed as incurred. The amount incurred for advertising expenses for the years ended December 31, 2025 and 2024 were $13 and $3,783,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sales and marketing expenses consist primarily of personnel-related costs, including salaries and wages, benefits, commissions, bonuses and stock-based compensation expense for the Company’s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benefits and other related costs, for personnel and consultants in the Company’s executive and finance functions. General and administrative expenses also include professional fees for legal, finance, accounting, intellectual property, auditing, tax and consulting services, travel expenses and facility-related expenses, which include allocated expenses for rent and maintenance of facilities and other operating costs not otherwise included in research and development expenses or sales and marketing expenses.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stock-based options granted to employees, directors and non-employees based on the fair value of the awards on the date of grant using the Black-Scholes option-pricing model. The Company measures restricted stock awards using the difference, if any, between the purchase price per share of the award and the fair value of the Company’s Common Stock at the date of grant.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stock options and restricted stock awards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which is generally over the vesting period of the award. The Company accounts for forfeitures as they occur.</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F-24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percent likelihood of being realized upon ultimate settlement. The provision for income taxes includes the effects of any resulting tax reserves, or unrecognized tax benefits, that are considered appropriate as well as the related net interest and penalties. The Company had accrued no amounts for interest or penalties related to uncertain tax positions as of December 31, 2025 and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(the “JOBS Act”). Pursuant to the JOBS Act, an emerging growth company is provided the option to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As a result, the Company’s consolidated financial statements may not be comparable to those public companies that comply with new or revised accounting pronouncements as of public company effective dates. The Company may choose to early adopt any new or revised accounting standards whenever such early adoption is permitted for nonpublic companies.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F-25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Issued Accounting Pronouncements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Merger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Company completed its planned Merger with Legacy Zapata, pursuant to which Legacy Zapata became a wholly owned subsidiary of the Company.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AAC filed an application for deregistration with the Cayman Islands Registrar of Companies and filed a certificate of incorporation and a certificate of corporate domestication with the Secretary of State of the state of Delaware, under which AAC was domesticated and continues as a Delaware corporation (the “Domestication”), changing its name to Zapata Computing Holdings Inc. At the effective time of the Domestication, existing holders of ordinary shares of AAC received 7,596,206 shares of the Company’s Common Stock in exchange for their Class A and Class B ordinary shares held immediately prior to the consummation of the Merger.</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Closing of the Merger, holders of shares of Legacy Zapata Common Stock and Legacy Zapata Convertible Preferred Stock received an aggregate of 17,696,425 shares of the Company’s Common Stock, and holders of Legacy Zapata Options received options to purchase an aggregate of 3,016,409 shares of the Company’s Common Stock, determined by giving effect of the Exchange Ratio of 0.9141.</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the Merger was accounted for as a reverse recapitalization whereby Legacy Zapata was treated as the accounting acquirer and AAC was treated as the acquired company. This determination was primarily based on the following factors: (i) Legacy Zapata’s existing stockholders had the majority of the voting interest in the combined entity with an approximate 63% voting interest; (ii) the combined company’s board of directors consisted of seven 7 board members with one 1 board member designated by AAC, and each of the remaining six 6 board members were members of the board of directors of Legacy Zapata and one 1 additional independent board member; (iii) Legacy Zapata’s senior management comprised all the senior management of the combined company; and (iv) Legacy Zapata’s existing operations comprised the ongoing operations of the combined company. In accordance with guidance applicable to these circumstances, the Merger was treated as the equivalent of Legacy Zapata issuing stock for the net assets of AAC, accompanied by a recapitalization. The net assets of AAC were stated at historical cost, with no goodwill or other intangible assets recorded. Operations prior to the Merger were those of Legacy Zapata.</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in connection with the consummation of the Merger, the Company’s Common Stock was listed on the Nasdaq Global Market, and the Public Warrants and the Private Placement Warrants were listed on the Nasdaq Capital Market, under the new trading symbols “ZPTA” and “ZPTAW,” respectively. Costs paid by the Company directly attributable to the Merger were $7,058 and were treated as issuance costs and netted against additional paid-in-capital in the consolidated balance sheet of the Company. Additionally, upon the consummation of the Merger, the holders of certain outstanding Senior Secured Notes elected to convert the principal of their notes and accrued interest thereon in an aggregate amount of $14,660 into 3,257,876 shares of the Company’s Common Stock (856,202 shares to related parties) in accordance with their terms, at a conversion price of $4.50 per share. Aggregate principal and accrued interest of $1,273 on the Senior Secured Notes remains outstanding as of December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F-26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Consideration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elements of the Merger to the consolidated statement of cash flows and the consolidated statement of changes in equity. Upon the Closing of the Merger, the Company assumed liabilities of $8,159 from AAC, which was comprised of $223 of accounts payable, $1,987 of accrued expenses and other current liabilities, $2,619 of note payable – related party, and $3,330 of deferred legal fees.</w:t>
      </w:r>
    </w:p>
    <w:tbl>
      <w:tblPr>
        <w:tblW w:w="10205" w:type="dxa"/>
        <w:jc w:val="left"/>
        <w:tblInd w:w="0" w:type="dxa"/>
        <w:tblLayout w:type="fixed"/>
        <w:tblCellMar>
          <w:top w:w="0" w:type="dxa"/>
          <w:left w:w="0" w:type="dxa"/>
          <w:bottom w:w="0" w:type="dxa"/>
          <w:right w:w="0" w:type="dxa"/>
        </w:tblCellMar>
      </w:tblPr>
      <w:tblGrid>
        <w:gridCol w:w="8880"/>
        <w:gridCol w:w="60"/>
        <w:gridCol w:w="196"/>
        <w:gridCol w:w="957"/>
        <w:gridCol w:w="112"/>
      </w:tblGrid>
      <w:tr>
        <w:trPr/>
        <w:tc>
          <w:tcPr>
            <w:tcW w:w="8880" w:type="dxa"/>
            <w:tcBorders/>
            <w:shd w:fill="FFFFFF" w:val="clear"/>
            <w:vAlign w:val="center"/>
          </w:tcPr>
          <w:p>
            <w:pPr>
              <w:pStyle w:val="TableContents"/>
              <w:bidi w:val="0"/>
              <w:spacing w:before="0" w:after="283"/>
              <w:jc w:val="left"/>
              <w:rPr/>
            </w:pPr>
            <w:r>
              <w:rPr/>
              <w:t>Schedule of the number of shares of company common stock outstanding in the account of merger</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28, 2024</w:t>
            </w:r>
          </w:p>
        </w:tc>
        <w:tc>
          <w:tcPr>
            <w:tcW w:w="112" w:type="dxa"/>
            <w:tcBorders/>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Cash - AAC Trust (net of redemptions)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20,283</w:t>
            </w:r>
          </w:p>
        </w:tc>
        <w:tc>
          <w:tcPr>
            <w:tcW w:w="112" w:type="dxa"/>
            <w:tcBorders/>
            <w:shd w:fill="CCEEFF" w:val="clear"/>
            <w:vAlign w:val="center"/>
          </w:tcPr>
          <w:p>
            <w:pPr>
              <w:pStyle w:val="TableContents"/>
              <w:bidi w:val="0"/>
              <w:spacing w:before="0" w:after="283"/>
              <w:jc w:val="left"/>
              <w:rPr/>
            </w:pPr>
            <w:r>
              <w:rPr/>
              <w:t> </w:t>
            </w:r>
          </w:p>
        </w:tc>
      </w:tr>
      <w:tr>
        <w:trPr/>
        <w:tc>
          <w:tcPr>
            <w:tcW w:w="8880" w:type="dxa"/>
            <w:tcBorders/>
            <w:shd w:fill="FFFFFF" w:val="clear"/>
            <w:vAlign w:val="center"/>
          </w:tcPr>
          <w:p>
            <w:pPr>
              <w:pStyle w:val="TableContents"/>
              <w:bidi w:val="0"/>
              <w:spacing w:before="0" w:after="283"/>
              <w:jc w:val="left"/>
              <w:rPr/>
            </w:pPr>
            <w:r>
              <w:rPr/>
              <w:t>Less: AAC costs paid at Closing</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(7,317</w:t>
            </w:r>
          </w:p>
        </w:tc>
        <w:tc>
          <w:tcPr>
            <w:tcW w:w="112" w:type="dxa"/>
            <w:tcBorders/>
            <w:shd w:fill="FFFFFF" w:val="clear"/>
            <w:vAlign w:val="center"/>
          </w:tcPr>
          <w:p>
            <w:pPr>
              <w:pStyle w:val="TableContents"/>
              <w:bidi w:val="0"/>
              <w:spacing w:before="0" w:after="283"/>
              <w:jc w:val="left"/>
              <w:rPr/>
            </w:pPr>
            <w:r>
              <w:rPr/>
              <w:t>)</w:t>
            </w:r>
          </w:p>
        </w:tc>
      </w:tr>
      <w:tr>
        <w:trPr/>
        <w:tc>
          <w:tcPr>
            <w:tcW w:w="8880" w:type="dxa"/>
            <w:tcBorders/>
            <w:shd w:fill="CCEEFF" w:val="clear"/>
            <w:vAlign w:val="center"/>
          </w:tcPr>
          <w:p>
            <w:pPr>
              <w:pStyle w:val="TableContents"/>
              <w:bidi w:val="0"/>
              <w:spacing w:before="0" w:after="283"/>
              <w:jc w:val="left"/>
              <w:rPr/>
            </w:pPr>
            <w:r>
              <w:rPr/>
              <w:t>Less: Notes payable - related party paid at Closing</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pPr>
            <w:r>
              <w:rPr/>
              <w:t>(330</w:t>
            </w:r>
          </w:p>
        </w:tc>
        <w:tc>
          <w:tcPr>
            <w:tcW w:w="112" w:type="dxa"/>
            <w:tcBorders/>
            <w:shd w:fill="CCEEFF" w:val="clear"/>
            <w:vAlign w:val="center"/>
          </w:tcPr>
          <w:p>
            <w:pPr>
              <w:pStyle w:val="TableContents"/>
              <w:bidi w:val="0"/>
              <w:spacing w:before="0" w:after="283"/>
              <w:jc w:val="left"/>
              <w:rPr/>
            </w:pPr>
            <w:r>
              <w:rPr/>
              <w:t>)</w:t>
            </w:r>
          </w:p>
        </w:tc>
      </w:tr>
      <w:tr>
        <w:trPr/>
        <w:tc>
          <w:tcPr>
            <w:tcW w:w="8880" w:type="dxa"/>
            <w:tcBorders/>
            <w:shd w:fill="FFFFFF" w:val="clear"/>
            <w:vAlign w:val="center"/>
          </w:tcPr>
          <w:p>
            <w:pPr>
              <w:pStyle w:val="TableContents"/>
              <w:bidi w:val="0"/>
              <w:spacing w:before="0" w:after="283"/>
              <w:jc w:val="left"/>
              <w:rPr/>
            </w:pPr>
            <w:r>
              <w:rPr/>
              <w:t>Net proceeds from the Merger</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12,636</w:t>
            </w:r>
          </w:p>
        </w:tc>
        <w:tc>
          <w:tcPr>
            <w:tcW w:w="112" w:type="dxa"/>
            <w:tcBorders/>
            <w:shd w:fill="FFFFFF" w:val="clear"/>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Less: Liabilities obtained from AAC</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pPr>
            <w:r>
              <w:rPr/>
              <w:t>(8,159</w:t>
            </w:r>
          </w:p>
        </w:tc>
        <w:tc>
          <w:tcPr>
            <w:tcW w:w="112" w:type="dxa"/>
            <w:tcBorders/>
            <w:shd w:fill="CCEEFF" w:val="clear"/>
            <w:vAlign w:val="center"/>
          </w:tcPr>
          <w:p>
            <w:pPr>
              <w:pStyle w:val="TableContents"/>
              <w:bidi w:val="0"/>
              <w:spacing w:before="0" w:after="283"/>
              <w:jc w:val="left"/>
              <w:rPr/>
            </w:pPr>
            <w:r>
              <w:rPr/>
              <w:t>)</w:t>
            </w:r>
          </w:p>
        </w:tc>
      </w:tr>
      <w:tr>
        <w:trPr/>
        <w:tc>
          <w:tcPr>
            <w:tcW w:w="8880" w:type="dxa"/>
            <w:tcBorders/>
            <w:shd w:fill="FFFFFF" w:val="clear"/>
            <w:vAlign w:val="center"/>
          </w:tcPr>
          <w:p>
            <w:pPr>
              <w:pStyle w:val="TableContents"/>
              <w:bidi w:val="0"/>
              <w:spacing w:before="0" w:after="283"/>
              <w:jc w:val="left"/>
              <w:rPr/>
            </w:pPr>
            <w:r>
              <w:rPr/>
              <w:t>Merger consideration</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jc w:val="right"/>
              <w:rPr/>
            </w:pPr>
            <w:r>
              <w:rPr/>
              <w:t>4,477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Company’s Common Stock outstanding immediately following the consummation of the Merger was as follows: </w:t>
      </w:r>
    </w:p>
    <w:tbl>
      <w:tblPr>
        <w:tblW w:w="9115" w:type="dxa"/>
        <w:jc w:val="left"/>
        <w:tblInd w:w="0" w:type="dxa"/>
        <w:tblLayout w:type="fixed"/>
        <w:tblCellMar>
          <w:top w:w="0" w:type="dxa"/>
          <w:left w:w="0" w:type="dxa"/>
          <w:bottom w:w="0" w:type="dxa"/>
          <w:right w:w="0" w:type="dxa"/>
        </w:tblCellMar>
      </w:tblPr>
      <w:tblGrid>
        <w:gridCol w:w="7970"/>
        <w:gridCol w:w="60"/>
        <w:gridCol w:w="60"/>
        <w:gridCol w:w="950"/>
        <w:gridCol w:w="75"/>
      </w:tblGrid>
      <w:tr>
        <w:trPr/>
        <w:tc>
          <w:tcPr>
            <w:tcW w:w="7970" w:type="dxa"/>
            <w:tcBorders/>
            <w:vAlign w:val="center"/>
          </w:tcPr>
          <w:p>
            <w:pPr>
              <w:pStyle w:val="TableContents"/>
              <w:bidi w:val="0"/>
              <w:spacing w:before="0" w:after="283"/>
              <w:jc w:val="left"/>
              <w:rPr>
                <w:sz w:val="20"/>
              </w:rPr>
            </w:pPr>
            <w:r>
              <w:rPr>
                <w:sz w:val="20"/>
              </w:rPr>
              <w:t>Schedule of the number of shares of company common stock outstanding in the account of merger</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w:t>
              <w:br/>
              <w:t>Ownership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Zapata equity 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17,696,425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AAC public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1,846,206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AAC Sponsor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 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3,257,876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Shares issued pursuant to the Forward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markets advisors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shares of Common Stock immediately after the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29,092,879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Revenue From Contracts With 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from contracts with customers was generated in the U.S. during the year ended December 31, 2024. No revenue was recognized during the year ended December 31, 2025 due to the Operational Cessation (Note 1) in the fourth quarter of 2024. Revenue from contracts with customers recognized for the year ended December 31, 2025 and 2024 consists of the following: </w:t>
      </w:r>
    </w:p>
    <w:tbl>
      <w:tblPr>
        <w:tblW w:w="6187" w:type="dxa"/>
        <w:jc w:val="left"/>
        <w:tblInd w:w="0" w:type="dxa"/>
        <w:tblLayout w:type="fixed"/>
        <w:tblCellMar>
          <w:top w:w="0" w:type="dxa"/>
          <w:left w:w="0" w:type="dxa"/>
          <w:bottom w:w="0" w:type="dxa"/>
          <w:right w:w="0" w:type="dxa"/>
        </w:tblCellMar>
      </w:tblPr>
      <w:tblGrid>
        <w:gridCol w:w="4145"/>
        <w:gridCol w:w="60"/>
        <w:gridCol w:w="214"/>
        <w:gridCol w:w="445"/>
        <w:gridCol w:w="102"/>
        <w:gridCol w:w="102"/>
        <w:gridCol w:w="214"/>
        <w:gridCol w:w="830"/>
        <w:gridCol w:w="75"/>
      </w:tblGrid>
      <w:tr>
        <w:trPr/>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of revenue from contracts with customers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Point in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balances resulting from contracts with customers include the following:</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 Acquisition Costs—</w:t>
      </w:r>
      <w:r>
        <w:rPr>
          <w:rFonts w:ascii="Times New Roman;Times;Serif" w:hAnsi="Times New Roman;Times;Serif"/>
          <w:b w:val="false"/>
          <w:i w:val="false"/>
          <w:caps w:val="false"/>
          <w:smallCaps w:val="false"/>
          <w:sz w:val="20"/>
        </w:rPr>
        <w:t xml:space="preserve"> No deferred transaction costs were recorded as of December 31, 2025 and 2024. There was $0 and $10 of amortization of contract acquisition costs recognized in the consolidated statements of operations and comprehensive income (loss) for the year ended December 31, 2025 and 2024,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As of December 31, 2025 and December 31, 2024, there were accounts receivable due from related parties amounting to $0 and $1,567, respectively. As of December 31, 2025 and 2024, the Company had zero 0 allowance for credit losses.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Liabilities</w:t>
      </w:r>
      <w:r>
        <w:rPr>
          <w:rFonts w:ascii="Times New Roman;Times;Serif" w:hAnsi="Times New Roman;Times;Serif"/>
          <w:b w:val="false"/>
          <w:i w:val="false"/>
          <w:caps w:val="false"/>
          <w:smallCaps w:val="false"/>
          <w:sz w:val="20"/>
        </w:rPr>
        <w:t>— Balances due to customers of $406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F-27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Fair Value Measurements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fair value hierarchy for its assets and liabilities that are measured at fair value on a recurring basis and indicate the level within the fair value hierarchy of the valuation techniques the Company utilized to determine such fair value:</w:t>
      </w:r>
    </w:p>
    <w:tbl>
      <w:tblPr>
        <w:tblW w:w="8784" w:type="dxa"/>
        <w:jc w:val="left"/>
        <w:tblInd w:w="0" w:type="dxa"/>
        <w:tblLayout w:type="fixed"/>
        <w:tblCellMar>
          <w:top w:w="0" w:type="dxa"/>
          <w:left w:w="0" w:type="dxa"/>
          <w:bottom w:w="0" w:type="dxa"/>
          <w:right w:w="0" w:type="dxa"/>
        </w:tblCellMar>
      </w:tblPr>
      <w:tblGrid>
        <w:gridCol w:w="5015"/>
        <w:gridCol w:w="60"/>
        <w:gridCol w:w="125"/>
        <w:gridCol w:w="689"/>
        <w:gridCol w:w="75"/>
        <w:gridCol w:w="75"/>
        <w:gridCol w:w="158"/>
        <w:gridCol w:w="689"/>
        <w:gridCol w:w="75"/>
        <w:gridCol w:w="75"/>
        <w:gridCol w:w="158"/>
        <w:gridCol w:w="689"/>
        <w:gridCol w:w="75"/>
        <w:gridCol w:w="75"/>
        <w:gridCol w:w="158"/>
        <w:gridCol w:w="518"/>
        <w:gridCol w:w="75"/>
      </w:tblGrid>
      <w:tr>
        <w:trPr/>
        <w:tc>
          <w:tcPr>
            <w:tcW w:w="5015" w:type="dxa"/>
            <w:tcBorders/>
            <w:shd w:fill="FFFFFF" w:val="clear"/>
            <w:vAlign w:val="center"/>
          </w:tcPr>
          <w:p>
            <w:pPr>
              <w:pStyle w:val="TableContents"/>
              <w:bidi w:val="0"/>
              <w:spacing w:before="0" w:after="283"/>
              <w:jc w:val="left"/>
              <w:rPr/>
            </w:pPr>
            <w:r>
              <w:rPr/>
              <w:t> </w:t>
            </w:r>
            <w:r>
              <w:rPr>
                <w:sz w:val="20"/>
              </w:rPr>
              <w:t>Summary of assets measured at fair value on a recurring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3509"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Fair Value Measurements at December 31, 2025</w:t>
            </w:r>
          </w:p>
        </w:tc>
        <w:tc>
          <w:tcPr>
            <w:tcW w:w="75" w:type="dxa"/>
            <w:tcBorders/>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Level 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Level 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Level 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sz w:val="20"/>
              </w:rPr>
            </w:pPr>
            <w:r>
              <w:rPr>
                <w:sz w:val="20"/>
              </w:rPr>
              <w:t>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sz w:val="20"/>
              </w:rPr>
            </w:pPr>
            <w:r>
              <w:rPr>
                <w:sz w:val="20"/>
              </w:rPr>
              <w:t>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sz w:val="20"/>
              </w:rPr>
            </w:pPr>
            <w:r>
              <w:rPr>
                <w:sz w:val="20"/>
              </w:rPr>
              <w:t>Money market mutual funds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71" w:type="dxa"/>
        <w:jc w:val="left"/>
        <w:tblInd w:w="0" w:type="dxa"/>
        <w:tblLayout w:type="fixed"/>
        <w:tblCellMar>
          <w:top w:w="0" w:type="dxa"/>
          <w:left w:w="0" w:type="dxa"/>
          <w:bottom w:w="0" w:type="dxa"/>
          <w:right w:w="0" w:type="dxa"/>
        </w:tblCellMar>
      </w:tblPr>
      <w:tblGrid>
        <w:gridCol w:w="2330"/>
        <w:gridCol w:w="60"/>
        <w:gridCol w:w="238"/>
        <w:gridCol w:w="439"/>
        <w:gridCol w:w="114"/>
        <w:gridCol w:w="114"/>
        <w:gridCol w:w="238"/>
        <w:gridCol w:w="496"/>
        <w:gridCol w:w="114"/>
        <w:gridCol w:w="114"/>
        <w:gridCol w:w="238"/>
        <w:gridCol w:w="496"/>
        <w:gridCol w:w="114"/>
        <w:gridCol w:w="114"/>
        <w:gridCol w:w="238"/>
        <w:gridCol w:w="439"/>
        <w:gridCol w:w="7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6" w:type="dxa"/>
            <w:gridSpan w:val="14"/>
            <w:tcBorders>
              <w:bottom w:val="single" w:sz="8" w:space="0" w:color="000000"/>
            </w:tcBorders>
            <w:tcMar>
              <w:bottom w:w="28" w:type="dxa"/>
            </w:tcMar>
            <w:vAlign w:val="center"/>
          </w:tcPr>
          <w:p>
            <w:pPr>
              <w:pStyle w:val="TableContents"/>
              <w:bidi w:val="0"/>
              <w:spacing w:before="0" w:after="283"/>
              <w:jc w:val="center"/>
              <w:rPr>
                <w:b/>
                <w:sz w:val="16"/>
              </w:rPr>
            </w:pPr>
            <w:r>
              <w:rPr>
                <w:b/>
                <w:sz w:val="16"/>
              </w:rPr>
              <w:t>Fair Value Measurements at December 31, 2024</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1</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2</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3</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7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sz w:val="20"/>
              </w:rPr>
            </w:pPr>
            <w:r>
              <w:rPr>
                <w:sz w:val="20"/>
              </w:rPr>
              <w:t>Assets:</w:t>
            </w:r>
          </w:p>
        </w:tc>
        <w:tc>
          <w:tcPr>
            <w:tcW w:w="60"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sz w:val="20"/>
              </w:rPr>
            </w:pPr>
            <w:r>
              <w:rPr>
                <w:sz w:val="20"/>
              </w:rPr>
              <w:t>Cash equivalents: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sz w:val="20"/>
              </w:rPr>
            </w:pPr>
            <w:r>
              <w:rPr>
                <w:sz w:val="20"/>
              </w:rPr>
              <w:t>Money market mutual funds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equivalents maintained in money market funds are based on quoted market prices in active markets, which represent a Level 1 measurement within the fair value hierarchy. The carrying values of the Company’s accounts receivable, prepaid expenses and other current assets, accounts payable, accrued expenses and other current liabilities, the note payable – related party, deferred revenue, deferred legal fees and the obligation to issue Common Stock approximate their fair values due to the short-term nature of these instruments. The Forward Purchase Agreement derivative liability is carried at fair value, determined according to Level 3 inputs in the fair value hierarchy (Note 7).</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2024, there were no transfers between Level 1, Level 2 and Level 3.</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Accrued Expenses and Other Current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tbl>
      <w:tblPr>
        <w:tblW w:w="7034" w:type="dxa"/>
        <w:jc w:val="left"/>
        <w:tblInd w:w="0" w:type="dxa"/>
        <w:tblLayout w:type="fixed"/>
        <w:tblCellMar>
          <w:top w:w="0" w:type="dxa"/>
          <w:left w:w="0" w:type="dxa"/>
          <w:bottom w:w="0" w:type="dxa"/>
          <w:right w:w="0" w:type="dxa"/>
        </w:tblCellMar>
      </w:tblPr>
      <w:tblGrid>
        <w:gridCol w:w="4760"/>
        <w:gridCol w:w="60"/>
        <w:gridCol w:w="206"/>
        <w:gridCol w:w="803"/>
        <w:gridCol w:w="60"/>
        <w:gridCol w:w="60"/>
        <w:gridCol w:w="206"/>
        <w:gridCol w:w="804"/>
        <w:gridCol w:w="75"/>
      </w:tblGrid>
      <w:tr>
        <w:trPr/>
        <w:tc>
          <w:tcPr>
            <w:tcW w:w="4760" w:type="dxa"/>
            <w:tcBorders/>
            <w:vAlign w:val="center"/>
          </w:tcPr>
          <w:p>
            <w:pPr>
              <w:pStyle w:val="TableContents"/>
              <w:bidi w:val="0"/>
              <w:spacing w:before="0" w:after="283"/>
              <w:jc w:val="left"/>
              <w:rPr/>
            </w:pPr>
            <w:r>
              <w:rPr/>
              <w:t> </w:t>
            </w:r>
            <w:r>
              <w:rPr>
                <w:sz w:val="20"/>
              </w:rPr>
              <w:t>Schedule of accrued expenses and other current liabilities</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December 31,</w:t>
              <w:br/>
              <w:t>2024</w:t>
            </w:r>
          </w:p>
        </w:tc>
        <w:tc>
          <w:tcPr>
            <w:tcW w:w="7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employee compensation and benefit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Refunds payable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color w:val="CCEEFF"/>
              </w:rPr>
            </w:pPr>
            <w:r>
              <w:rPr>
                <w:color w:val="CCEEFF"/>
              </w:rPr>
              <w:t> </w:t>
            </w:r>
            <w:r>
              <w:rPr>
                <w:rFonts w:ascii="Times New Roman;Times;Serif" w:hAnsi="Times New Roman;Times;Serif"/>
                <w:color w:val="CCEEF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Refund Payable—</w:t>
      </w:r>
      <w:r>
        <w:rPr>
          <w:rFonts w:ascii="Times New Roman;Times;Serif" w:hAnsi="Times New Roman;Times;Serif"/>
          <w:b w:val="false"/>
          <w:i w:val="false"/>
          <w:caps w:val="false"/>
          <w:smallCaps w:val="false"/>
          <w:sz w:val="20"/>
        </w:rPr>
        <w:t>The third party purchased a one-year subscription to the Company’s Orquestra Enterprise Solution on June 27, 2024, and prepaid $1,000 fee. Following the Company’s Operational Cessation (Note 1) and early termination of the subscription, the third party is entitled to a prorated refund of $750 for services it will no longer receive.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F-28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7. Forward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the Company entered into a forward purchase agreement with Sandia. The Forward Purchase Agreement contains (i) an Optional Early Termination provision, which is considered an in-substance put option (the “Optional Early Termination”) and (ii) a Variable Maturity Consideration which is the amount of the Settlement Amount Adjustment in excess of the Settlement Amount (the “Variable Maturity Consideration”). The Optional Early Termination and the Variable Maturity Consideration, as combined, are considered a freestanding financial instrument as the Optional Early Termination and the Variable Maturity Consideration cannot be legally detachable and separately exercisable from each other and together, meet the definition of a derivative instrument. Pursuant to the Forward Purchase Agreement, the Seller has the option to early terminate the arrangement in whole or in part by providing written notice to the Company, and the Seller will pay the Company an amount equal to the product of the number of shares that are early terminated and the reset price then in effect. If the Seller exercises an Optional Early Termination, then the Settlement Amount and the Settlement Amount Adjustment to be paid at the Valuation Date will be reduced in proportion to the number of shares subject to the Optional Early Termination. Additionally, the Company may be obligated to pay consideration to the Seller in cash or, under certain circumstances, in shares of the Company’s Common Stock, if the Settlement Amount Adjustment exceeds the Settlement Amount.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 Purchase Agreement provided that the settlement with respect to the shares held by Sandia will be determined as of the Valuation Date, defined as the earliest to occur of March 28, 2026, or certain other events that may, at the discretion of Sandia or the Company, accelerate the Valuation Date. Such events included a written notice from Sandia following a period in which the Company’s Common Stock has a volume-weighted average price (“VWAP”) below $1.00 per share for 20 trading days within any 30 consecutive trading-day period. As a result of the VWAP Trigger Event, Sandia obtained the right, but not the obligation, to accelerate the Valuation Date and thereby settle the Forward Purchase Agreement prior to March 28, 2026.</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the fair value of the derivative instrument of $4,935 as a liability on its consolidated balance sheets and measured it at fair value with the initial value of the derivative instrument recorded as a loss on issuance of forward purchase agreement derivative liability in the consolidated statements of operations and comprehensive income (loss). The forward purchase agreement derivative liability was subsequently remeasured to fair value at each reporting period, with changes in fair value recognized in the consolidated statements of operations and comprehensive income (loss)The fair value of the obligation to Sandia was determined to be $2,436 at December 31,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the VWAP Trigger Event, which was met when the Company’s Common Stock traded below $1.00 per share for 20 trading days within any 30 consecutive trading-day period, Sandia exercised its right to accelerate the Valuation Date to October 8, 2024. On October 8, 2024, the Company received notice from Sandia accelerating the Valuation Date to October 8, 2024. Upon acceleration, the Company became obligated to pay to Sandia an amount in cash equal to the Settlement Amount Adjustment, less any Settlement Amount owed to the Company by Sandia. The Settlement Amount Adjustment was calculated as 1,250,000 shares multiplied by $2.00, or $2,500, and the Settlement Amount was calculated as 1,250,000 shares less 500,000 Unregistered Shares multiplied by the volume weighted daily VWAP Price of $0.0085 per share, or $64. Accordingly, the Company became obligated to pay Sandia an amount in cash or shares equal to $2,436.</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the Conversion Agreement with Sandia. Pursuant to the Conversion Agreement the Company settled its obligation under the Forward Purchase Agreement by issuing 6,591,000 shares of the Company’s Common Stock with a fair value of $79 to Sandia. The Company and Sandia also entered into Universal Resale and Registration Provisions, which include lock-up restrictions limiting the sale, transfer, pledge, or other disposition of the common shares issued. As a result of the conversion, the Company derecognized $2,436 of forward purchase agreement settlement obligation, recorded the issuance of 6,591,000 shares of Common Stock, and recognized a gain on extinguishment of liabilities of $2,357.</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F-29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significant inputs used in calculating the forward purchase agreement derivative liability on the issuance date:</w:t>
      </w:r>
    </w:p>
    <w:tbl>
      <w:tblPr>
        <w:tblW w:w="6314" w:type="dxa"/>
        <w:jc w:val="left"/>
        <w:tblInd w:w="0" w:type="dxa"/>
        <w:tblLayout w:type="fixed"/>
        <w:tblCellMar>
          <w:top w:w="0" w:type="dxa"/>
          <w:left w:w="0" w:type="dxa"/>
          <w:bottom w:w="0" w:type="dxa"/>
          <w:right w:w="0" w:type="dxa"/>
        </w:tblCellMar>
      </w:tblPr>
      <w:tblGrid>
        <w:gridCol w:w="4880"/>
        <w:gridCol w:w="60"/>
        <w:gridCol w:w="240"/>
        <w:gridCol w:w="934"/>
        <w:gridCol w:w="200"/>
      </w:tblGrid>
      <w:tr>
        <w:trPr/>
        <w:tc>
          <w:tcPr>
            <w:tcW w:w="4880" w:type="dxa"/>
            <w:tcBorders/>
            <w:vAlign w:val="center"/>
          </w:tcPr>
          <w:p>
            <w:pPr>
              <w:pStyle w:val="TableContents"/>
              <w:bidi w:val="0"/>
              <w:spacing w:before="0" w:after="283"/>
              <w:jc w:val="left"/>
              <w:rPr>
                <w:sz w:val="20"/>
              </w:rPr>
            </w:pPr>
            <w:r>
              <w:rPr>
                <w:sz w:val="20"/>
              </w:rPr>
              <w:t>Schedule of forward purchase agreement derivative liability</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28, 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determined the initial value for the forward purchase agreement derivative liability of $4,935 using the Level 3 inputs as of the issuance date on March 28, 2024 and recorded the loss on issuance of $4,935 as a loss on issuance of forward purchase agreement derivative liability in the consolidated statements of operations and comprehensive loss. The change in fair value of the forward purchase agreement derivative liability of $2,499 was recorded during the year ended December 31, 2024 in the consolidated statements of operations and comprehensive loss.</w:t>
      </w:r>
      <w:r>
        <w:rPr>
          <w:rFonts w:ascii="Times New Roman;Times;Serif" w:hAnsi="Times New Roman;Times;Serif"/>
          <w:b w:val="false"/>
          <w:i w:val="false"/>
          <w:caps w:val="false"/>
          <w:smallCaps w:val="false"/>
          <w:sz w:val="24"/>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 in fair value of the forward purchase agreement derivative liability for the years ended December 31, 2025 and 2024: </w:t>
      </w:r>
    </w:p>
    <w:tbl>
      <w:tblPr>
        <w:tblW w:w="7415" w:type="dxa"/>
        <w:jc w:val="left"/>
        <w:tblInd w:w="0" w:type="dxa"/>
        <w:tblLayout w:type="fixed"/>
        <w:tblCellMar>
          <w:top w:w="0" w:type="dxa"/>
          <w:left w:w="0" w:type="dxa"/>
          <w:bottom w:w="0" w:type="dxa"/>
          <w:right w:w="0" w:type="dxa"/>
        </w:tblCellMar>
      </w:tblPr>
      <w:tblGrid>
        <w:gridCol w:w="5780"/>
        <w:gridCol w:w="60"/>
        <w:gridCol w:w="125"/>
        <w:gridCol w:w="545"/>
        <w:gridCol w:w="80"/>
        <w:gridCol w:w="60"/>
        <w:gridCol w:w="125"/>
        <w:gridCol w:w="545"/>
        <w:gridCol w:w="95"/>
      </w:tblGrid>
      <w:tr>
        <w:trPr/>
        <w:tc>
          <w:tcPr>
            <w:tcW w:w="5780" w:type="dxa"/>
            <w:tcBorders/>
            <w:vAlign w:val="center"/>
          </w:tcPr>
          <w:p>
            <w:pPr>
              <w:pStyle w:val="TableContents"/>
              <w:bidi w:val="0"/>
              <w:spacing w:before="0" w:after="283"/>
              <w:jc w:val="center"/>
              <w:rPr>
                <w:sz w:val="20"/>
              </w:rPr>
            </w:pPr>
            <w:r>
              <w:rPr>
                <w:sz w:val="20"/>
              </w:rPr>
              <w:t>Schedule of fair value of the forward purchase agreement</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 derivative liability issuance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forward purchase agreement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outstanding as of December 31, 2025 and 2024 consisted of the following:</w:t>
      </w:r>
    </w:p>
    <w:tbl>
      <w:tblPr>
        <w:tblW w:w="7484" w:type="dxa"/>
        <w:jc w:val="left"/>
        <w:tblInd w:w="0" w:type="dxa"/>
        <w:tblLayout w:type="fixed"/>
        <w:tblCellMar>
          <w:top w:w="0" w:type="dxa"/>
          <w:left w:w="0" w:type="dxa"/>
          <w:bottom w:w="0" w:type="dxa"/>
          <w:right w:w="0" w:type="dxa"/>
        </w:tblCellMar>
      </w:tblPr>
      <w:tblGrid>
        <w:gridCol w:w="5210"/>
        <w:gridCol w:w="60"/>
        <w:gridCol w:w="206"/>
        <w:gridCol w:w="803"/>
        <w:gridCol w:w="60"/>
        <w:gridCol w:w="60"/>
        <w:gridCol w:w="206"/>
        <w:gridCol w:w="804"/>
        <w:gridCol w:w="75"/>
      </w:tblGrid>
      <w:tr>
        <w:trPr/>
        <w:tc>
          <w:tcPr>
            <w:tcW w:w="5210" w:type="dxa"/>
            <w:tcBorders/>
            <w:vAlign w:val="center"/>
          </w:tcPr>
          <w:p>
            <w:pPr>
              <w:pStyle w:val="TableContents"/>
              <w:bidi w:val="0"/>
              <w:spacing w:before="0" w:after="283"/>
              <w:jc w:val="left"/>
              <w:rPr>
                <w:sz w:val="20"/>
              </w:rPr>
            </w:pPr>
            <w:r>
              <w:rPr>
                <w:sz w:val="20"/>
              </w:rPr>
              <w:t>Schedule of the aggregate principal amount of debt outstanding</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Total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non-current debt obligations reflected in the consolidated balance sheets as of December 31, 2025 and December 31, 2024 consisted of the following: </w:t>
      </w:r>
    </w:p>
    <w:tbl>
      <w:tblPr>
        <w:tblW w:w="10205" w:type="dxa"/>
        <w:jc w:val="left"/>
        <w:tblInd w:w="0" w:type="dxa"/>
        <w:tblLayout w:type="fixed"/>
        <w:tblCellMar>
          <w:top w:w="0" w:type="dxa"/>
          <w:left w:w="0" w:type="dxa"/>
          <w:bottom w:w="0" w:type="dxa"/>
          <w:right w:w="0" w:type="dxa"/>
        </w:tblCellMar>
      </w:tblPr>
      <w:tblGrid>
        <w:gridCol w:w="7960"/>
        <w:gridCol w:w="60"/>
        <w:gridCol w:w="200"/>
        <w:gridCol w:w="779"/>
        <w:gridCol w:w="60"/>
        <w:gridCol w:w="60"/>
        <w:gridCol w:w="206"/>
        <w:gridCol w:w="804"/>
        <w:gridCol w:w="76"/>
      </w:tblGrid>
      <w:tr>
        <w:trPr/>
        <w:tc>
          <w:tcPr>
            <w:tcW w:w="7960" w:type="dxa"/>
            <w:tcBorders/>
            <w:vAlign w:val="center"/>
          </w:tcPr>
          <w:p>
            <w:pPr>
              <w:pStyle w:val="TableContents"/>
              <w:bidi w:val="0"/>
              <w:spacing w:before="0" w:after="283"/>
              <w:jc w:val="left"/>
              <w:rPr>
                <w:sz w:val="20"/>
              </w:rPr>
            </w:pPr>
            <w:r>
              <w:rPr>
                <w:sz w:val="20"/>
              </w:rPr>
              <w:t>Schedule of current and non current debt obligations reflected in the condensed consolidated balance sheets</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2024</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2,549</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F-30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Senior Secured Notes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Legacy Zapata had an outstanding balance of Senior Secured Notes of $8,900, which was netted with $158 of unamortized debt issuance costs. From January 2024 through March 2024, Legacy Zapata issued $7,150 in additional aggregate principal amount of Senior Secured Notes, which includes certain Senior Secured Notes with an aggregate principal amount of $1,150 that were issued to third party advisors in lieu of cash payment for services rendered to Legacy Zapata related to the Merger (Note 3). The Senior Secured Notes issued from January 2024 to March 2024 totaling $6,150 were issued at a substantial premium. Accordingly, the Company accounted for the issuance of these Senior Secured Notes under the amortized cost model, which is the principal plus accrued interest. The remaining Senior Secured Note issued to a third-party advisor totaling $1,000 is carried at redemption value, which is the principal plus accrued interest. The Company issued a Senior Secured Note to a third party for capital market advisory services that vested contingently with the Merger. Upon the satisfaction of the performance condition as described in the agreement, the Company accounted for the Senior Secured Note as a stock-based award granted to a non-employee and measured the award based on the fair value on the Merger date, with the liability portion of the award recorded as Senior Secured Notes at the redemption value, and the excess fair value recorded as a loss on issuance of convertible note within total other expense, net in the consolidated statements of operations and comprehensive income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a portion of the aggregate outstanding the Senior Secured Notes converted into 3,257,876 shares of the Company’s Common Stock (856,202 shares to related parties). Upon the conversion of the Senior Secured Notes, the principal balance of the debt of $14,207 and associated accrued interest of $453 were converted, resulting in an increase in Common Stock and additional paid-in capital of $14,660. Certain holders of the Senior Secured Notes, holding $2,000 in aggregate principal, did not convert their Senior Secured Notes into shares of the Company’s Common Stock. The balance of the secured notes and accrued interest was $2,237 at December 31,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made a payment of $1,342 to settle one of Senior Secured Notes, which had an original principal amount of $1,000 and accrued interest of $209. In connection with the repayment, the Company recognized a loss on debt extinguishment of $134 during the year ended December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one of the $1,000 Senior Secured was assigned from its original note holder to Sandia. The transfer did not modify the terms of the note or its accounting treatment. As of December 31, 2025 aggregate principal and accrued interest of $1,273 is due on the outstanding Senior Secured Note which matures December 15,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assignment of the note to Sandia, , the Company entered into a consent agreement (the “Consent Agreement”) with Sandia. Under the Consent Agreement, Sandia agreed to waive certain rights under its outstanding Senior Secured Note agreement, including default under the Senior Secured Note agreement arising from, or in connection with, the issuance of Convertible Promissory Notes described below, as well as any defaults existing as of the date of the Consent. In exchange for this waiver, the Company issued 34,000,000 shares of its Common Stock with a fair value of $10 to Sandia. In addition, the Company entered into an intercreditor agreement with the collateral agent and Sandia providing for the relative rights with respect to the secured obligations of the Company.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was accounted for as a modification of the Senior Secured Note. The fair value of the issued shares of $10 was reflected as a debt modification cost.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security purchase agreement with accredited investors pursuant to which the Company sold and issued secured convertible promissory notes (“Convertible Promissory Notes”) and warrants to purchase 37,500,000 shares of Common Stock (“Warrants”) for total gross proceeds of $3,000.</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bear simple interest at a rate of 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F-31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may not be prepaid before the maturity date without the written consent of the holder and is secured pursuant to a Security Agreement entered into concurrently with the issuance.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are convertible into 75,000,000 shares of the Company’s Common Stock at the option of the holder at any time prior to repayment. The conversion price is $0.04 per share, subject to customary anti-dilution adjustments for stock splits, stock dividends, combinations, or recapitalizations (the “Conversion Price”). Upon conversion, any unpaid accrued interest is automatically forgiven.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balance under the Convertible Promissory Notes automatically convert into Common Stock upon the closing of a Qualified Financing with aggregate gross proceeds of at least $5,000, at the Conversion Price. In the event of a Change of Control prior to maturity, the holder may elect to (i) have the outstanding principal and accrued interest repaid in full or (ii) convert the principal into shares of Common Stock at the Conversion Price. Accrued interest is forgiven upon such conversion.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written notice from the holder (or automatically upon certain bankruptcy-related events), the Convertible Promissory Notes become immediately due and payable, together with all accrued interest. Events of Default include (i) failure to pay principal or interest when due, (ii) breaches of covenants in the Convertible Promissory Notes or the Securities Purchase Agreement, (iii) bankruptcy or insolvency events, and (iv) defaults under other indebtedness exceeding $200.</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Promissory Notes, the Company incurred debt issuance costs totaling $75. These costs were recorded as a reduction to the carrying value of the Convertible Promissory Notes and are amortized to interest expense over the one-year term using the effective interest method. The effective interest rate on the Convertible Note is 12.64%.</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accounts for its Convertible Promissory Notes at amortized cost. No portion of the proceeds was allocated to the conversion features, as the embedded conversion options did not require separate derivative accounting and the notes were not issued at a premium subject to ASC 470. The fair value of the warrants issued in connection with the notes was not material.</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approximately $168 of interest expense for the year ended December 31, 2025, which is included within interest expense in the consolidated statements of operations and comprehensive income (loss). Interest expense attributable to the amortization of debt issuance costs incurred with third-party financing arrangements was immaterial for the year ended December 31,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 Related Parties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finance transaction costs related to the Merger, the Sponsor and certain AAC officers and directors provided working capital loans (the “Notes Payable – Related Party”) prior to Closing. These notes were repayable at the Merger Closing without interest or, at AAC’s discretion, up to $1,500 could be converted into Private Placement Warrants at $1.00 per warrant.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Notes Payable – Related Party were amended to defer repayment of the outstanding principal and accrued interest of $2,619. The amended terms require repayment in monthly installments, beginning thirty days after the Lincoln Park Registration Statement became effective on April 18, 2024 (Note 11). No note holders elected to convert their loans into warrants at Closing. The notes bear interest at 4.5% per annum and are accounted for at amortized cost. The balance of the notes payable and accrued interest– related parties was $1,930 at December 31,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Conversion Agreements with the note holders of the Notes Payable – Related Party to settle all remaining outstanding debt obligations and accrued interest.. Pursuant to the Conversion Agreements, the Company settled its Notes Payable – Related Party by issuing 5,407,000 shares of the Company’s Common Stock with a fair value of $38 to the note holders to settle outstanding notes payable and accrued interest of $1,998. The excess of the carrying value of the notes payable and accrued interest converted in excess of the fair value of the shares issued of $1,960 was recorded as a capital contribution.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conversion, the Company derecognized Notes Payable – Related Party of $1,998 and recorded the issuance of 5,407,000 shares of Common Stock. As of December 31, 2025, there was no remaining balance and no unamortized debt discount.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F-32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Commitment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br/>
        <w:t>Forbearance Agreements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accounts payable at December 31, 2024 were payables to service providers of $3,774. On October 22,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 million and $55 million, respectively, in aggregate proceeds. If the specified financing thresholds are not achieved, the corresponding contingent payments will not become due, and the related obligations will be permanently extinguished. The creditor has agreed to temporarily forbear from enforcing collection of the $1,887 that is currently recorded in accounts payable during the forbearance period.</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accounted for the $1,887 that is now contingently payable as an extinguishment of debt and has included this in other income due to management’s assessment that is more likely than not that the Company would not be able to reach the equity raising threshold that would require repayment of these amounts.</w:t>
        <w:b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Quantum Cloud Service Agreement</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the Company entered into an agreement with a third party under which the third party will host the Company’s quantum generative AI application on its cloud service and will provide support services for a period of 24 months. The Company has agreed to make payments in an aggregate amount equal to $2,063 to the third party over the agreement term as consideration for services rendered pursuant to the agreement, which will be due and payable from April 2024 to February 2027. On June 27, 2024, the agreement was amended to extend the services through November 2028, and the aggregate fees payable from the Company increased to $4,063 over the extended term. The cloud service agreement was effectively terminated in October 2024 in connection with the Company’s Operational Cessation (Note 1).</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Advisory and Other Agreements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September 13, 2023, the Company entered into an agreement with a third party for advisory services. In March 2024, the payment terms were amended to provide for a fee of $1,250, to be paid by the issuance of a Senior Secured Note with a principal amount of $1,000 and the remaining $250 in six monthly installments in cash of $42 per month commencing on May 15, 2024. From May 2024 through September 2024 the Company paid $209 to the third party. The Company ceased making payments in the fourth quarter of 2024 due to the Operational Cessation (Note 1), and the remaining balance of 42 was subsequently converted into 113,000 shares of the Company’s Common Stock with a fair value of $14 in the second quarter of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2024, the Company entered into an engagement letter with an additional third party, as amended on February 27, 2024. The Company agreed to pay the third party a non-refundable cash fee of $1,800, payable by the Company in monthly payments of $113 over the Term (as defined in Note 3) with $300 of such payment waivable if the Company voluntarily prepays $1,500 to the third party prior to December 31, 2024. Upon the Closing of the Merger, the Company recognized $1,800 as transaction costs, which recorded as a reduction in additional paid-in capital. From May 2024 through September 2024 the Company paid $563 to the third party. The Company ceased making payments in the fourth quarter of 2024 due to the Operational Cessation (Note 1), and the remaining balance of $1,237 was subsequently converted into 3,349,000 shares of the Company’s Common Stock with a fair value of $40 in the second quarter of 2025.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Collaborative Research Agreement</w:t>
      </w:r>
      <w:r>
        <w:rPr>
          <w:rFonts w:ascii="Times New Roman;Times;Serif" w:hAnsi="Times New Roman;Times;Serif"/>
          <w:b w:val="false"/>
          <w:i w:val="false"/>
          <w:caps w:val="false"/>
          <w:smallCaps w:val="false"/>
          <w:sz w:val="20"/>
        </w:rPr>
        <w:t>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the Company entered into a collaborative research agreement with a third party, pursuant to which the Company and the third party partnered to develop a quantum generative AI application and a hybrid solver over a three-month term. The Company led the development of the application. The third party also contributed $1,000 to the project in the form of a Senior Secured Note, which it did not elect to convert into the Company’s Common Stock upon the Closing of the Merger and which was repaid in June 2025. The collaborative research agreement was effectively terminated in October 2024 in connection with the Company’s Operational Cessation (Note 1).</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F-33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March 28, 2024, each holder of the Convertible Preferred Stock was converted into the right to receive 0.9141 shares of the Company’s Common Stock. The Company determined that the Merger constituted a deemed liquidation under its charter and, as such, the holders of the Convertible Preferred Stock were entitled to receive an amount per share equal to the greater of i) the applicable original issue price of the applicable series of the Convertible Preferred Stock, plus any dividends declared but unpaid thereon (the “Preference”), or ii) such amount per share as would have been payable had all shares of the Convertible Preferred Stock been converted into Common Stock immediately prior to the Merger (the “As Converted Amount”). Upon the Closing of the Merger, the Company determined that the As Converted Amount was greater than the Preference and converted 14,222,580 shares of Convertible Preferred Stock into 13,001,114 shares of the Company’s Common Stock. The Company’s capital amounts prior to the Merger have been retrospectively restated as shares reflecting the conversion ratio of 0.9141 established in the Merger. Following the Closing, the Company had no shares of Convertible Preferred Stock outstanding at December 31,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and November 2025, the Company entered into securities purchase Agreements with accredited investors, pursuant to which the Company offered and sold 15,000 shares of the Company’s Series A Convertible Preferred Stock at a purchase price of $100 per share for total gross proceeds of $1,500. The Company incurred expenses totaling $64, resulting in net proceeds of $1,436.</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filed the Certificate of Designations of Preferences, Rights and Limitations (the “Certificate of Designations”) of the Series A with the Delaware Secretary of State, designating and authorizing the issuance of up to 15,000 shares of Series A Convertible Preferred Stock.</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authorized, issued, and outstanding Series A Convertible Preferred Stock and their principal were as follows:</w:t>
      </w:r>
    </w:p>
    <w:tbl>
      <w:tblPr>
        <w:tblW w:w="10082" w:type="dxa"/>
        <w:jc w:val="left"/>
        <w:tblInd w:w="0" w:type="dxa"/>
        <w:tblLayout w:type="fixed"/>
        <w:tblCellMar>
          <w:top w:w="0" w:type="dxa"/>
          <w:left w:w="0" w:type="dxa"/>
          <w:bottom w:w="0" w:type="dxa"/>
          <w:right w:w="0" w:type="dxa"/>
        </w:tblCellMar>
      </w:tblPr>
      <w:tblGrid>
        <w:gridCol w:w="3845"/>
        <w:gridCol w:w="60"/>
        <w:gridCol w:w="69"/>
        <w:gridCol w:w="685"/>
        <w:gridCol w:w="60"/>
        <w:gridCol w:w="60"/>
        <w:gridCol w:w="76"/>
        <w:gridCol w:w="754"/>
        <w:gridCol w:w="60"/>
        <w:gridCol w:w="60"/>
        <w:gridCol w:w="112"/>
        <w:gridCol w:w="1122"/>
        <w:gridCol w:w="60"/>
        <w:gridCol w:w="60"/>
        <w:gridCol w:w="142"/>
        <w:gridCol w:w="553"/>
        <w:gridCol w:w="60"/>
        <w:gridCol w:w="60"/>
        <w:gridCol w:w="279"/>
        <w:gridCol w:w="581"/>
        <w:gridCol w:w="60"/>
        <w:gridCol w:w="60"/>
        <w:gridCol w:w="67"/>
        <w:gridCol w:w="1062"/>
        <w:gridCol w:w="75"/>
      </w:tblGrid>
      <w:tr>
        <w:trPr/>
        <w:tc>
          <w:tcPr>
            <w:tcW w:w="3845" w:type="dxa"/>
            <w:tcBorders/>
            <w:vAlign w:val="center"/>
          </w:tcPr>
          <w:p>
            <w:pPr>
              <w:pStyle w:val="TableContents"/>
              <w:bidi w:val="0"/>
              <w:spacing w:before="0" w:after="283"/>
              <w:jc w:val="center"/>
              <w:rPr/>
            </w:pPr>
            <w:r>
              <w:rPr/>
              <w:t>Summary of convertible preferred stock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28"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Stock</w:t>
              <w:br/>
              <w:t>Authorized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Stock Issued</w:t>
              <w:br/>
              <w:t>and 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Carrying</w:t>
              <w:br/>
              <w:t>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Liquidation</w:t>
              <w:br/>
              <w:t>Preference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br/>
              <w:t>Issuable Upon</w:t>
              <w:br/>
              <w:t>Conversion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is convertible into 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Convertible Preferred Stock</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In June 2025, the Company entered into a series of conversion agreements (the “Conversion Agreements”) with certain creditors. Pursuant to the Conversion Agreements, certain creditors agreed to exchange $4,429 of accounts payable and accrued expenses for the issuance of 11,983 shares of the Company’s Series C Convertible preferred stock.</w:t>
      </w:r>
    </w:p>
    <w:p>
      <w:pPr>
        <w:pStyle w:val="TextBody"/>
        <w:bidi w:val="0"/>
        <w:spacing w:before="0" w:after="0"/>
        <w:ind w:left="0" w:right="0" w:firstLine="554"/>
        <w:jc w:val="left"/>
        <w:rPr>
          <w:caps w:val="false"/>
          <w:smallCaps w:val="false"/>
          <w:color w:val="333333"/>
        </w:rPr>
      </w:pPr>
      <w:r>
        <w:rPr>
          <w:caps w:val="false"/>
          <w:smallCaps w:val="false"/>
          <w:color w:val="333333"/>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the Company filed the Certificate of Designations of Preferences, Rights and Limitations of the Series C Convertible Preferred Stock of the Company designating and authorizing the issuance of up to 13,000 shares of Series C Convertible Preferred Stock. Subsequently, on November 4, 2025, the Company filed a Certificate of Amendment to the Certificate of Designations to increase the number of authorized and designated shares of Series C Convertible Preferred Stock to 23,000 shares.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 xml:space="preserve">On July 22, 2025, the Company issued a total of 11,983 shares of the Company’s Series C Convertible Preferred Stock </w:t>
      </w:r>
      <w:r>
        <w:rPr>
          <w:rFonts w:ascii="Times New Roman;Times;Serif" w:hAnsi="Times New Roman;Times;Serif"/>
          <w:b w:val="false"/>
          <w:i w:val="false"/>
          <w:caps w:val="false"/>
          <w:smallCaps w:val="false"/>
          <w:color w:val="333333"/>
          <w:sz w:val="20"/>
        </w:rPr>
        <w:t>(convertible into 11,983,000 shares of Common Stock)</w:t>
      </w:r>
      <w:r>
        <w:rPr>
          <w:rFonts w:ascii="Times New Roman;Times;Serif" w:hAnsi="Times New Roman;Times;Serif"/>
          <w:b w:val="false"/>
          <w:i w:val="false"/>
          <w:caps w:val="false"/>
          <w:smallCaps w:val="false"/>
          <w:sz w:val="20"/>
        </w:rPr>
        <w:t xml:space="preserve"> with a fair value of $12 to two creditors in settlement of $4,429 of accounts payable and accrued expenses pursuant to the Conversion Agreements </w:t>
      </w:r>
      <w:r>
        <w:rPr>
          <w:rFonts w:ascii="Times New Roman;Times;Serif" w:hAnsi="Times New Roman;Times;Serif"/>
          <w:b w:val="false"/>
          <w:i w:val="false"/>
          <w:caps w:val="false"/>
          <w:smallCaps w:val="false"/>
          <w:color w:val="333333"/>
          <w:sz w:val="20"/>
        </w:rPr>
        <w:t>As a result of the issuance of the Series C Convertible preferred stock, the Company recognized a gain on extinguishment of liabilities of $4,417.</w:t>
      </w:r>
      <w:r>
        <w:rPr>
          <w:rFonts w:ascii="Times New Roman;Times;Serif" w:hAnsi="Times New Roman;Times;Serif"/>
          <w:b w:val="false"/>
          <w:i w:val="false"/>
          <w:caps w:val="false"/>
          <w:smallCaps w:val="false"/>
          <w:sz w:val="24"/>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F-34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authorized, issued, and outstanding Series C Convertible Preferred Stock and their principal were as follows:</w:t>
      </w:r>
    </w:p>
    <w:tbl>
      <w:tblPr>
        <w:tblW w:w="10058" w:type="dxa"/>
        <w:jc w:val="left"/>
        <w:tblInd w:w="0" w:type="dxa"/>
        <w:tblLayout w:type="fixed"/>
        <w:tblCellMar>
          <w:top w:w="0" w:type="dxa"/>
          <w:left w:w="0" w:type="dxa"/>
          <w:bottom w:w="0" w:type="dxa"/>
          <w:right w:w="0" w:type="dxa"/>
        </w:tblCellMar>
      </w:tblPr>
      <w:tblGrid>
        <w:gridCol w:w="3785"/>
        <w:gridCol w:w="60"/>
        <w:gridCol w:w="61"/>
        <w:gridCol w:w="693"/>
        <w:gridCol w:w="60"/>
        <w:gridCol w:w="60"/>
        <w:gridCol w:w="67"/>
        <w:gridCol w:w="763"/>
        <w:gridCol w:w="60"/>
        <w:gridCol w:w="60"/>
        <w:gridCol w:w="99"/>
        <w:gridCol w:w="1135"/>
        <w:gridCol w:w="60"/>
        <w:gridCol w:w="60"/>
        <w:gridCol w:w="140"/>
        <w:gridCol w:w="560"/>
        <w:gridCol w:w="60"/>
        <w:gridCol w:w="60"/>
        <w:gridCol w:w="301"/>
        <w:gridCol w:w="559"/>
        <w:gridCol w:w="60"/>
        <w:gridCol w:w="60"/>
        <w:gridCol w:w="60"/>
        <w:gridCol w:w="1100"/>
        <w:gridCol w:w="75"/>
      </w:tblGrid>
      <w:tr>
        <w:trPr/>
        <w:tc>
          <w:tcPr>
            <w:tcW w:w="3785" w:type="dxa"/>
            <w:tcBorders/>
            <w:vAlign w:val="center"/>
          </w:tcPr>
          <w:p>
            <w:pPr>
              <w:pStyle w:val="TableContents"/>
              <w:bidi w:val="0"/>
              <w:spacing w:before="0" w:after="283"/>
              <w:jc w:val="center"/>
              <w:rPr>
                <w:sz w:val="24"/>
              </w:rPr>
            </w:pPr>
            <w:r>
              <w:rPr>
                <w:sz w:val="24"/>
              </w:rPr>
              <w:t>Summary of convertible preferred stock</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4" w:type="dxa"/>
            <w:gridSpan w:val="18"/>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4"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 2025</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 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Issuable Upon</w:t>
              <w:br/>
              <w:t>Conversion</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Series C Preferred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11,983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11,983,000</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bottom w:w="28" w:type="dxa"/>
            </w:tcMar>
            <w:vAlign w:val="center"/>
          </w:tcPr>
          <w:p>
            <w:pPr>
              <w:pStyle w:val="TableContents"/>
              <w:bidi w:val="0"/>
              <w:spacing w:before="0" w:after="283"/>
              <w:jc w:val="right"/>
              <w:rPr/>
            </w:pPr>
            <w:r>
              <w:rPr/>
              <w:t>23,000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pPr>
            <w:r>
              <w:rPr/>
              <w:t>11,983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11,983,000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authorized 600,000,000 shares of $0.0001 par value Common Stock. Each share of Common Stock entitles the holder to one vote, together with the holders of the Series A and Series C Convertible Preferred Stock (on an as-converted basis), on all matters submitted to the stockholders for a vote. The holders of Common Stock are entitled to receive dividends, if any, as declared by the Company’s Board of Directors.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Unvested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220" w:firstLine="4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March 28, 2024, 1,129,630 shares of Sponsor Shares became unvested and are subject to the forfeiture pursuant to the closing available cash provisions as described in the sponsor support agreement in contemplation of the Merger. All of the Unvested Shares will become vested if, within three 3 years of the Closing, the volume-weighted average price of the Company’s Common Stock equals or exceeds $12.00 per share (as adjusted for stock splits, stock dividends, reorganizations and recapitalizations) for any 20 trading days within any 30-trading day period, or if there is a change of control of the Company. If neither of these events occur within three 3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No Unvested Shares vested during the year ended December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Lincoln Park Purchase Agreement</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two equity purchase agreements with Lincoln Park Capital Fund, LLC (“Lincoln Park”) on December 19, 2023 (the “2023 Purchase Agreement”) and August 13, 2024 (the “2024 Purchase Agreement”). Under the 2023 Purchase Agreement, Lincoln Park committed to purchase up to $75,000 of the Company’s Common Stock over a 36-month period following the Merger Closing. The Company issued 712,025 shares with fair value of $1,688 as a Commitment Fee on April 11, 2024. A related registration statement covering the shares issuable under the agreement was filed on April 12, 2024 and declared effective on April 18, 2024. As of December 31, 2025, the Company had issued 13,078,780 shares for total proceeds of $8,564 (excluding Commitment Shares).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F-35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2024 Purchase Agreement, Lincoln Park committed to purchase up to $10,000 of Common Stock over a 24-month period. The Company issued 500,000 Commitment Shares upon execution. The related registration statement was filed on September 3, 2024 and declared effective on September 9, 2024. As of December 31, 2025, the Company issued 2,700,000 shares for total proceeds of $862 (excluding Commitment Shares).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Agreements and Universal Resale and Registration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entered into a series of conversion agreements with certain of its creditors. Pursuant to the Conversion Agreements certain creditors agreed to exchange an aggregate of approximately $6,814 of accounts payable, into 17,681,000 shares of the Company’s Common Stock with a fair value of $2,105, resulting in a gain of extinguishment of liabilities of $4,695 that has been recorded as other income in the accompanying statement of operations for the year ending December 31, 2025 . In connection with the Conversion Agreements, the Company and counterparties who received Common Stock or preferred stock entered into certain Universal Resale and Registration Provisions pursuant to which such recipients agreed to certain lock-up provisions restricting and limiting their sale, transfer, pledge, or disposal of any shares of Common Stock held by or issuable to such recipients.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 and Private Placement Warrants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AAC’s IPO, AAC issued Public Warrants to third-party investors where each whole warrant entitles the holder to purchase one 1 share of AAC’s Common Stock at an exercise price of $11.50 per share. Simultaneously with the closing of the IPO, AAC completed the private sale of Private Placement Warrants to the sponsor, where each warrant allows the holder to purchase one 1 share of AAC’s Common Stock at $11.50 per share. Additionally, pursuant to AACs’ sponsor working capital loan agreement, the sponsor may convert up to $1,500 of the outstanding Notes Payable – Related Party into up to an additional 1,500,000 Private Placement Warrants at the price of $1.00 per warrant upon the Closing Date (Note 8). Upon the Closing Date, the option to convert up to $1,500 of the outstanding Notes Payable – Related Party amount into and up to an additional 1,500,000 Private Placement Warrants was not exercised. As of December 31, 2025, 11,499,982 Public Warrants and 13,550,000 Private Placement Warrants remained outstanding.</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out of 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there were 11,499,982 and 11,499,982 Public Warrants outstanding, respectively. As of December 31, 2025 and 2024, there were 55,800,000 and 13,550,000 Private Placement Warrants outstanding, respectively. The Public Warrants and Private Placement Warrants qualify for equity classification in accordance with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Accordingly, the Warrants were initially measured at fair value and recorded within equity with no subsequent measures of changes in fair value.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10" w:right="10" w:firstLine="508"/>
        <w:jc w:val="left"/>
        <w:rPr>
          <w:caps w:val="false"/>
          <w:smallCaps w:val="false"/>
        </w:rPr>
      </w:pPr>
      <w:r>
        <w:rPr>
          <w:caps w:val="false"/>
          <w:smallCaps w:val="false"/>
        </w:rPr>
        <w:t> </w:t>
      </w:r>
    </w:p>
    <w:p>
      <w:pPr>
        <w:pStyle w:val="TextBody"/>
        <w:bidi w:val="0"/>
        <w:spacing w:before="0" w:after="0"/>
        <w:ind w:left="10" w:right="10" w:firstLine="508"/>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F-36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activity after retrospectively adjusting for the effect of the reverse recapitalization during the year ended December 31, 2024 and 2025 is as follows:</w:t>
      </w:r>
    </w:p>
    <w:tbl>
      <w:tblPr>
        <w:tblW w:w="9578" w:type="dxa"/>
        <w:jc w:val="left"/>
        <w:tblInd w:w="0" w:type="dxa"/>
        <w:tblLayout w:type="fixed"/>
        <w:tblCellMar>
          <w:top w:w="0" w:type="dxa"/>
          <w:left w:w="0" w:type="dxa"/>
          <w:bottom w:w="0" w:type="dxa"/>
          <w:right w:w="0" w:type="dxa"/>
        </w:tblCellMar>
      </w:tblPr>
      <w:tblGrid>
        <w:gridCol w:w="4565"/>
        <w:gridCol w:w="60"/>
        <w:gridCol w:w="60"/>
        <w:gridCol w:w="950"/>
        <w:gridCol w:w="60"/>
        <w:gridCol w:w="60"/>
        <w:gridCol w:w="212"/>
        <w:gridCol w:w="827"/>
        <w:gridCol w:w="60"/>
        <w:gridCol w:w="60"/>
        <w:gridCol w:w="188"/>
        <w:gridCol w:w="1197"/>
        <w:gridCol w:w="60"/>
        <w:gridCol w:w="60"/>
        <w:gridCol w:w="189"/>
        <w:gridCol w:w="895"/>
        <w:gridCol w:w="75"/>
      </w:tblGrid>
      <w:tr>
        <w:trPr/>
        <w:tc>
          <w:tcPr>
            <w:tcW w:w="4565" w:type="dxa"/>
            <w:tcBorders/>
            <w:vAlign w:val="center"/>
          </w:tcPr>
          <w:p>
            <w:pPr>
              <w:pStyle w:val="TableContents"/>
              <w:bidi w:val="0"/>
              <w:spacing w:before="0" w:after="283"/>
              <w:jc w:val="left"/>
              <w:rPr/>
            </w:pPr>
            <w:r>
              <w:rPr/>
              <w:t>Schedule of effect of the reverse recapitalization</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w:t>
              <w:br/>
              <w:t>Average</w:t>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Weighted-Average</w:t>
              <w:br/>
              <w:t>Remaining</w:t>
              <w:br/>
              <w:t>Contractual Term</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Aggregate</w:t>
              <w:br/>
              <w:t>Intrinsic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25,049,982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and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25,049,982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and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67,299,982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vested and exercisable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66,249,982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on Convertible Promissory Notes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securities purchase agreement with accredited investors pursuant to which the Company sold and issued secured Convertible Promissory Notes and Warrants to purchase 37,500,000 shares of Common Stock for total gross proceeds of $3,000. The Warrants have a term of five years. The Warrants have an exercise price of $0.04 per share, subject to certain adjustments. At any time when a registration statement registering the resale of shares issuable upon exercise of the Warrants is not effective, the Warrants can be exercised on a cashless basis by the holders.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Warrants on Financing Activities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August, and December 2025, the Company issued 550,000, 1,200,000, and 3,000,000 warrants with an exercise price of $0.115, $0.04, and $0.04 per share, respectively, to its investment bankers in connection with the Company’s financing activities. The 1,200,000 warrants issued in August 2025 are subject to service conditions and vest monthly over twenty-four months. The warrants are classified as equity, and their fair value was measured using the Black-Scholes option-pricing model. The fair value of the warrants on the date of issuance was immaterial.</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weighted-average grant-date fair value of warrants granted for the year ended December 31, 2025 was $0.04 per share. As of December 31, 2025, there was no unrecognized compensation cost related</w:t>
      </w:r>
      <w:r>
        <w:rPr>
          <w:rFonts w:ascii="Times New Roman;Times;Serif" w:hAnsi="Times New Roman;Times;Serif"/>
          <w:b w:val="false"/>
          <w:i w:val="false"/>
          <w:caps w:val="false"/>
          <w:smallCaps w:val="false"/>
          <w:sz w:val="20"/>
        </w:rPr>
        <w:t xml:space="preserve"> to unvested warrants.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2018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2018, the Board of Directors adopted the 2018 Stock Incentive Plan. Under the terms of the 2018 Plan, incentive stock options (“ISO”) could be granted to employees of Legacy Zapata and nonqualified stock options (“NQ”), or restricted stock awards (“RSA”) could be granted to directors, consultants, employees and officers of Legacy Zapata. The exercise price of stock options cannot be less than the fair value of Legacy Zapata’s Common Stock on the </w:t>
      </w:r>
      <w:r>
        <w:rPr>
          <w:rFonts w:ascii="Times New Roman;Times;Serif" w:hAnsi="Times New Roman;Times;Serif"/>
          <w:b w:val="false"/>
          <w:i w:val="false"/>
          <w:caps w:val="false"/>
          <w:smallCaps w:val="false"/>
          <w:spacing w:val="-1"/>
          <w:sz w:val="20"/>
        </w:rPr>
        <w:t>date of grant. The options vest over a period determined by the Board of Directors, generally four years, and expire not more than ten years from the date of</w:t>
      </w:r>
      <w:r>
        <w:rPr>
          <w:rFonts w:ascii="Times New Roman;Times;Serif" w:hAnsi="Times New Roman;Times;Serif"/>
          <w:b w:val="false"/>
          <w:i w:val="false"/>
          <w:caps w:val="false"/>
          <w:smallCaps w:val="false"/>
          <w:sz w:val="20"/>
        </w:rPr>
        <w:t xml:space="preserve"> grant.</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retrospectively adjusting for the effect of the reverse recapitalization, the total number of shares of Common Stock designated for issuance under the 2018 Plan was 4,058,126 as of December 31, 2023. As of December 31, 2023, there were 197,598 shares remaining available for future grants under the 2018 Plan. Following the effectiveness of the 2024 Plan in March 2024, the 2018 Plan has been terminated and Legacy Zapata will not make any further awards under the 2018 Stock Incentive Plan.</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503,515 shares remained outstanding under the 2018 Plan following the Operational Cessation.</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F-37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Equity and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Board of Directors adopted the 2024 Plan, which has been approved by the Company’s shareholders. The 2024 Plan became effective immediately prior to the consummation of the Merger. Under the terms of the 2024 Plan, equity and equity-based incentive awards, as well as cash awards may be granted to employees, directors and consultants. As of December 31, 2024, the Company has reserved 3,491,146 shares of the Company’s Common Stock for issuance under the 2024 Plan. The 2024 Plan provides that the number of shares of the Company’s Common Stock reserved and available for issuance under the 2024 Plan will automatically increase each January 1, beginning on January 1, 2025 and on each January 1 thereafter, by 5% of the outstanding number of shares of the Company’s Common Stock on the immediately preceding December 31, or such lesser amount as determined by the </w:t>
      </w:r>
      <w:r>
        <w:rPr>
          <w:rFonts w:ascii="Times New Roman;Times;Serif" w:hAnsi="Times New Roman;Times;Serif"/>
          <w:b w:val="false"/>
          <w:i w:val="false"/>
          <w:caps w:val="false"/>
          <w:smallCaps w:val="false"/>
          <w:spacing w:val="-1"/>
          <w:sz w:val="20"/>
        </w:rPr>
        <w:t>plan administrator. Shares of underlying any stock-based awards that are forfeited, canceled, held back upon exercise of an option or settlement of an award</w:t>
      </w:r>
      <w:r>
        <w:rPr>
          <w:rFonts w:ascii="Times New Roman;Times;Serif" w:hAnsi="Times New Roman;Times;Serif"/>
          <w:b w:val="false"/>
          <w:i w:val="false"/>
          <w:caps w:val="false"/>
          <w:smallCaps w:val="false"/>
          <w:sz w:val="20"/>
        </w:rPr>
        <w:t xml:space="preserve"> to cover the exercise price or tax withholding, or reacquired by the Company prior to vesting, satisfied without the issuance of stock or otherwise terminated (other than by exercise) will be added back to the shares available for the grant of awards under the 2024 Plan.</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 total of 5,669,371 shares of Common Stock were reserved for issuance under the 2024 Plan, of which 200,000 shares of Common Stock were issued and outstanding, 25,000 shares of Common Stock were issuable upon the vesting of restricted awards, and 5,444,371 shares remained available for future grants.</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options exercisable for an aggregate of 900,000 shares of its Common Stock as inducement awards outside of the 2024 Plan during the year ended December 31, 2024. Of these, 300,000 options were forfeited as a result of the Operational Cessation, and 600,000 options remained outstanding as of December 31, 2025 and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 Option Valuation </w:t>
      </w:r>
    </w:p>
    <w:p>
      <w:pPr>
        <w:pStyle w:val="TextBody"/>
        <w:bidi w:val="0"/>
        <w:spacing w:lineRule="auto" w:line="276" w:before="0" w:after="0"/>
        <w:ind w:left="508"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option-pricing model to value option grants on the date of grant and to determine the related compensation expense. The assumptions used in calculating the fair value of stock-based payment awards represent management’s best estimations. The Company bases its expected volatility on the volatilities of certain publicly-traded peer companies. Management believes that the historical volatility of the Company’s stock price does not best represent the expected volatility of the stock price. The risk-free interest rate is determined by reference to the U.S. Treasury yield curve in effect at the time of grant of the award for time periods approximately equal to the expected term of the stock options granted. The Company uses the simplified method (an expected term based on the midpoint between the vesting date and the end of the contractual term) to calculate the expected term for awards that qualify as “plain-vanilla” options as it does not have sufficient historical exercise data to provide a reasonable basis upon which to estimate the expected term for options granted to employees. The expected dividend yield assumption is based on the Company’s history and expectation of dividend payouts.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 xml:space="preserve">In determining the exercise prices for options granted, the Company has considered the fair value of the Common Stock as of the measurement date. </w:t>
      </w:r>
      <w:r>
        <w:rPr>
          <w:rFonts w:ascii="Times New Roman;Times;Serif" w:hAnsi="Times New Roman;Times;Serif"/>
          <w:b w:val="false"/>
          <w:i w:val="false"/>
          <w:caps w:val="false"/>
          <w:smallCaps w:val="false"/>
          <w:spacing w:val="-1"/>
          <w:sz w:val="20"/>
        </w:rPr>
        <w:t xml:space="preserve">Prior to the Closing of the Merger, the fair value of the Common Stock was determined by management with consideration to a third-party valuation, which </w:t>
      </w:r>
      <w:r>
        <w:rPr>
          <w:rFonts w:ascii="Times New Roman;Times;Serif" w:hAnsi="Times New Roman;Times;Serif"/>
          <w:b w:val="false"/>
          <w:i w:val="false"/>
          <w:caps w:val="false"/>
          <w:smallCaps w:val="false"/>
          <w:sz w:val="20"/>
        </w:rPr>
        <w:t xml:space="preserve">contemplated a broad range of factors, including the illiquid nature of the investment in </w:t>
      </w:r>
      <w:r>
        <w:rPr>
          <w:rFonts w:ascii="Times New Roman;Times;Serif" w:hAnsi="Times New Roman;Times;Serif"/>
          <w:b w:val="false"/>
          <w:i w:val="false"/>
          <w:caps w:val="false"/>
          <w:smallCaps w:val="false"/>
          <w:spacing w:val="-1"/>
          <w:sz w:val="20"/>
        </w:rPr>
        <w:t>the Company’s Common Stock, the Company’s historical financial performance and financial position, the Company’s future prospects and opportunity for</w:t>
      </w:r>
      <w:r>
        <w:rPr>
          <w:rFonts w:ascii="Times New Roman;Times;Serif" w:hAnsi="Times New Roman;Times;Serif"/>
          <w:b w:val="false"/>
          <w:i w:val="false"/>
          <w:caps w:val="false"/>
          <w:smallCaps w:val="false"/>
          <w:sz w:val="20"/>
        </w:rPr>
        <w:t xml:space="preserve"> liquidity events, and recent sale and offer prices of common and convertible preferred stock, if any, in private transactions negotiated at arm’s length. Following the Closing of the Merger, the fair value of the Common Stock has been determined based on the traded price of the Company’s Common Stock.</w:t>
      </w:r>
      <w:r>
        <w:rPr>
          <w:rFonts w:ascii="Times New Roman;Times;Serif" w:hAnsi="Times New Roman;Times;Serif"/>
          <w:b w:val="false"/>
          <w:i w:val="false"/>
          <w:caps w:val="false"/>
          <w:smallCaps w:val="false"/>
          <w:sz w:val="24"/>
        </w:rPr>
        <w:t> </w:t>
      </w:r>
    </w:p>
    <w:p>
      <w:pPr>
        <w:pStyle w:val="TextBody"/>
        <w:bidi w:val="0"/>
        <w:spacing w:before="0" w:after="0"/>
        <w:ind w:left="10" w:right="10" w:firstLine="508"/>
        <w:jc w:val="left"/>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assumptions used in the Black-Scholes option-pricing model to determine the fair value of stock options granted during the year ended December 31, 2025 and 2024:</w:t>
      </w:r>
    </w:p>
    <w:tbl>
      <w:tblPr>
        <w:tblW w:w="10205" w:type="dxa"/>
        <w:jc w:val="left"/>
        <w:tblInd w:w="0" w:type="dxa"/>
        <w:tblLayout w:type="fixed"/>
        <w:tblCellMar>
          <w:top w:w="0" w:type="dxa"/>
          <w:left w:w="0" w:type="dxa"/>
          <w:bottom w:w="0" w:type="dxa"/>
          <w:right w:w="0" w:type="dxa"/>
        </w:tblCellMar>
      </w:tblPr>
      <w:tblGrid>
        <w:gridCol w:w="7294"/>
        <w:gridCol w:w="60"/>
        <w:gridCol w:w="60"/>
        <w:gridCol w:w="1267"/>
        <w:gridCol w:w="60"/>
        <w:gridCol w:w="60"/>
        <w:gridCol w:w="60"/>
        <w:gridCol w:w="1267"/>
        <w:gridCol w:w="77"/>
      </w:tblGrid>
      <w:tr>
        <w:trPr/>
        <w:tc>
          <w:tcPr>
            <w:tcW w:w="7294" w:type="dxa"/>
            <w:tcBorders/>
            <w:vAlign w:val="center"/>
          </w:tcPr>
          <w:p>
            <w:pPr>
              <w:pStyle w:val="TableContents"/>
              <w:bidi w:val="0"/>
              <w:spacing w:before="0" w:after="283"/>
              <w:jc w:val="left"/>
              <w:rPr>
                <w:sz w:val="20"/>
              </w:rPr>
            </w:pPr>
            <w:r>
              <w:rPr>
                <w:sz w:val="20"/>
              </w:rPr>
              <w:t>Summary of assumptions used in Black-Scholes option-pricing model to determine fair value of stock options granted</w:t>
            </w:r>
          </w:p>
        </w:tc>
        <w:tc>
          <w:tcPr>
            <w:tcW w:w="60" w:type="dxa"/>
            <w:tcBorders/>
            <w:vAlign w:val="center"/>
          </w:tcPr>
          <w:p>
            <w:pPr>
              <w:pStyle w:val="TableContents"/>
              <w:bidi w:val="0"/>
              <w:spacing w:before="0" w:after="283"/>
              <w:jc w:val="left"/>
              <w:rPr/>
            </w:pPr>
            <w:r>
              <w:rPr/>
              <w:t> </w:t>
            </w:r>
          </w:p>
        </w:tc>
        <w:tc>
          <w:tcPr>
            <w:tcW w:w="132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72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CCEE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4.63% - 3.77%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CCEE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4.32% - 4.50%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77" w:type="dxa"/>
            <w:tcBorders/>
            <w:shd w:fill="CCEEFF" w:val="clear"/>
          </w:tcPr>
          <w:p>
            <w:pPr>
              <w:pStyle w:val="TableContents"/>
              <w:bidi w:val="0"/>
              <w:spacing w:before="0" w:after="283"/>
              <w:jc w:val="left"/>
              <w:rPr>
                <w:sz w:val="4"/>
                <w:szCs w:val="4"/>
              </w:rPr>
            </w:pPr>
            <w:r>
              <w:rPr>
                <w:sz w:val="4"/>
                <w:szCs w:val="4"/>
              </w:rPr>
            </w:r>
          </w:p>
        </w:tc>
      </w:tr>
      <w:tr>
        <w:trPr/>
        <w:tc>
          <w:tcPr>
            <w:tcW w:w="72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7" w:type="dxa"/>
            <w:tcBorders/>
            <w:shd w:fill="FFFFFF" w:val="clea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F-38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the outstanding options to purchase shares of Legacy Zapata Common Stock were converted into options to purchase an aggregate of 3,016,409 shares of the Company’s Common Stock, determined by giving effect of the Exchange Ratio of 0.9141.</w:t>
      </w:r>
    </w:p>
    <w:p>
      <w:pPr>
        <w:pStyle w:val="TextBody"/>
        <w:bidi w:val="0"/>
        <w:spacing w:lineRule="auto" w:line="276" w:before="0" w:after="0"/>
        <w:ind w:left="820" w:right="820" w:firstLine="540"/>
        <w:jc w:val="left"/>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after retrospectively adjusting for the effect of the reverse recapitalization during the year ended December 31, 2024 and 2025 is as follows:</w:t>
      </w:r>
    </w:p>
    <w:tbl>
      <w:tblPr>
        <w:tblW w:w="9403" w:type="dxa"/>
        <w:jc w:val="left"/>
        <w:tblInd w:w="0" w:type="dxa"/>
        <w:tblLayout w:type="fixed"/>
        <w:tblCellMar>
          <w:top w:w="0" w:type="dxa"/>
          <w:left w:w="0" w:type="dxa"/>
          <w:bottom w:w="0" w:type="dxa"/>
          <w:right w:w="0" w:type="dxa"/>
        </w:tblCellMar>
      </w:tblPr>
      <w:tblGrid>
        <w:gridCol w:w="4370"/>
        <w:gridCol w:w="60"/>
        <w:gridCol w:w="60"/>
        <w:gridCol w:w="950"/>
        <w:gridCol w:w="80"/>
        <w:gridCol w:w="60"/>
        <w:gridCol w:w="212"/>
        <w:gridCol w:w="827"/>
        <w:gridCol w:w="60"/>
        <w:gridCol w:w="60"/>
        <w:gridCol w:w="188"/>
        <w:gridCol w:w="1197"/>
        <w:gridCol w:w="60"/>
        <w:gridCol w:w="60"/>
        <w:gridCol w:w="189"/>
        <w:gridCol w:w="895"/>
        <w:gridCol w:w="75"/>
      </w:tblGrid>
      <w:tr>
        <w:trPr/>
        <w:tc>
          <w:tcPr>
            <w:tcW w:w="4370" w:type="dxa"/>
            <w:tcBorders/>
            <w:vAlign w:val="center"/>
          </w:tcPr>
          <w:p>
            <w:pPr>
              <w:pStyle w:val="TableContents"/>
              <w:bidi w:val="0"/>
              <w:spacing w:before="0" w:after="283"/>
              <w:jc w:val="left"/>
              <w:rPr>
                <w:sz w:val="20"/>
              </w:rPr>
            </w:pPr>
            <w:r>
              <w:rPr>
                <w:sz w:val="20"/>
              </w:rPr>
              <w:t>Summary of stock option activity</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w:t>
              <w:br/>
              <w:t>Average</w:t>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Weighted-Average</w:t>
              <w:br/>
              <w:t>Remaining</w:t>
              <w:br/>
              <w:t>Contractual Term</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Aggregate</w:t>
              <w:br/>
              <w:t>Intrinsic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3,078,475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and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(974,544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2,956,748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and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(1,853,297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39,003,451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vested and exercisable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2025, the Company appointed Mr. William Klitgaard to the Board of Directors and named him as the sole member of the Audit Committee. In connection with his appointment, the Company granted Mr. Klitgaard the following compensation: (i) a grant of 1,000,000 five-year stock options with a fair value of $74 as determined by a Black Scholes pricing model, vesting in equal monthly increments over a two-year period, subject to continued services to the Company as of each applicable vesting date, with an exercise price of $0.08, (ii) cash compensation of $100 per year for services as director, and (iii) additional cash compensation of $25 per year for services as a chair of the Audit Committee of the Company, with both cash grants subject to Mr. Klitgaard’s continued service to the Company as of each applicable payment date.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appointed Mr. Clark Golestani, a director, to serve as Chairman of the Board of Directors. In connection with his appointment, the Company granted Mr. Golestani 1,000,000 five-year stock options with an exercise price of $0.08 with a fair value of $87 as determined by a Black Scholes pricing model, vesting in equal monthly increments over a two-year period, subject to Mr. Golestani’s continued service to the Company as of each applicable vesting date.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appointed Mr. Sumit Kapur, the Company's Chief Executive Officer, to the Board of Directors. In connection with his appointment, the Company granted Mr. Kapur 1,000,000 five-year stock options with an exercise price of $0.08 with a fair value of $87 as determined by a Black Scholes pricing model, vesting in equal monthly increments over a two-year period, subject to Mr. Kapur’s continued service to the Company as of each applicable vesting date. On October 9, 2025, in connection with Mr. Kapur’s services as Chief Executive Officer, the Company also granted Mr. Kapur 5,000,000 five-year stock options with an exercise price of $0.08, with a fair value of $433 as determined by a Black Scholes pricing model, vesting in equal monthly installments over four years, subject to his continued services to the Company as of each applicable vesting date.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In addition to the option grants listed above, the Company granted its employees, advisors, and consultants an aggregate of 29,900,000 ten-year stock options with an exercise price ranging from $0.0020 and $0.15 with an aggregate fair value of $858 as determined by a Black Scholes pricing model, vesting in equal monthly increments over either a two or four year period, with certain awards vesting 25% after one year and then monthly over a 36-month period, subject to his continued services to the Company as of each applicable vesting date.</w:t>
      </w:r>
    </w:p>
    <w:p>
      <w:pPr>
        <w:pStyle w:val="TextBody"/>
        <w:bidi w:val="0"/>
        <w:spacing w:before="0" w:after="0"/>
        <w:ind w:left="0" w:right="0" w:firstLine="508"/>
        <w:jc w:val="left"/>
        <w:rPr>
          <w:caps w:val="false"/>
          <w:smallCaps w:val="false"/>
          <w:spacing w:val="-1"/>
        </w:rPr>
      </w:pPr>
      <w:r>
        <w:rPr>
          <w:caps w:val="false"/>
          <w:smallCaps w:val="false"/>
          <w:spacing w:val="-1"/>
        </w:rPr>
        <w:t> </w:t>
      </w:r>
    </w:p>
    <w:p>
      <w:pPr>
        <w:pStyle w:val="TextBody"/>
        <w:bidi w:val="0"/>
        <w:spacing w:before="0" w:after="0"/>
        <w:ind w:left="0" w:right="0" w:firstLine="508"/>
        <w:jc w:val="left"/>
        <w:rPr>
          <w:caps w:val="false"/>
          <w:smallCaps w:val="false"/>
          <w:spacing w:val="-1"/>
        </w:rPr>
      </w:pPr>
      <w:r>
        <w:rPr>
          <w:caps w:val="false"/>
          <w:smallCaps w:val="false"/>
          <w:spacing w:val="-1"/>
        </w:rPr>
        <w:t> </w:t>
      </w:r>
    </w:p>
    <w:p>
      <w:pPr>
        <w:pStyle w:val="TextBody"/>
        <w:bidi w:val="0"/>
        <w:spacing w:before="0" w:after="0"/>
        <w:ind w:left="0" w:right="0" w:firstLine="508"/>
        <w:jc w:val="left"/>
        <w:rPr>
          <w:caps w:val="false"/>
          <w:smallCaps w:val="false"/>
          <w:spacing w:val="-1"/>
        </w:rPr>
      </w:pPr>
      <w:r>
        <w:rPr>
          <w:caps w:val="false"/>
          <w:smallCaps w:val="false"/>
          <w:spacing w:val="-1"/>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F-39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weighted-average grant-date fair value of awards granted for the year ended December 31, 2025 was $0.034 per share. As of December 31, 2025, there was $1,764 of total unrecognized compensation cost related</w:t>
      </w:r>
      <w:r>
        <w:rPr>
          <w:rFonts w:ascii="Times New Roman;Times;Serif" w:hAnsi="Times New Roman;Times;Serif"/>
          <w:b w:val="false"/>
          <w:i w:val="false"/>
          <w:caps w:val="false"/>
          <w:smallCaps w:val="false"/>
          <w:sz w:val="20"/>
        </w:rPr>
        <w:t xml:space="preserve"> to unvested stock options. The Company expects to recognize the unrecognized compensation amount over a remaining weighted-average period of 3.26 years. The fair value of stock options that vested during the years ended December 31, 2025 and 2024 was $245 and $95, respectively.</w:t>
      </w:r>
    </w:p>
    <w:p>
      <w:pPr>
        <w:pStyle w:val="TextBody"/>
        <w:bidi w:val="0"/>
        <w:spacing w:before="0" w:after="0"/>
        <w:ind w:left="0" w:right="0" w:firstLine="508"/>
        <w:jc w:val="left"/>
        <w:rPr>
          <w:caps w:val="false"/>
          <w:smallCaps w:val="false"/>
          <w:spacing w:val="-1"/>
        </w:rPr>
      </w:pPr>
      <w:r>
        <w:rPr>
          <w:caps w:val="false"/>
          <w:smallCaps w:val="false"/>
          <w:spacing w:val="-1"/>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grant nonvested restricted Common Stock to employees, directors, and consultants with or without cash consideration. These grants contain certain restrictions on the sale of the shares. Nonvested restricted Common Stock are not considered issued or outstanding for accounting purposes until they vest. Upon termination of the relationship with a holder of such shares, the Company has the right to repurchase the nonvested restricted Common Stock shares at the there was no consideration, a price per share defined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restricted stock activity during the year ended December 31, 2025:</w:t>
      </w:r>
    </w:p>
    <w:tbl>
      <w:tblPr>
        <w:tblW w:w="8167" w:type="dxa"/>
        <w:jc w:val="left"/>
        <w:tblInd w:w="0" w:type="dxa"/>
        <w:tblLayout w:type="fixed"/>
        <w:tblCellMar>
          <w:top w:w="0" w:type="dxa"/>
          <w:left w:w="0" w:type="dxa"/>
          <w:bottom w:w="0" w:type="dxa"/>
          <w:right w:w="0" w:type="dxa"/>
        </w:tblCellMar>
      </w:tblPr>
      <w:tblGrid>
        <w:gridCol w:w="116"/>
        <w:gridCol w:w="3638"/>
        <w:gridCol w:w="60"/>
        <w:gridCol w:w="60"/>
        <w:gridCol w:w="60"/>
        <w:gridCol w:w="1010"/>
        <w:gridCol w:w="80"/>
        <w:gridCol w:w="60"/>
        <w:gridCol w:w="60"/>
        <w:gridCol w:w="1010"/>
        <w:gridCol w:w="80"/>
        <w:gridCol w:w="60"/>
        <w:gridCol w:w="224"/>
        <w:gridCol w:w="575"/>
        <w:gridCol w:w="80"/>
        <w:gridCol w:w="60"/>
        <w:gridCol w:w="150"/>
        <w:gridCol w:w="709"/>
        <w:gridCol w:w="75"/>
      </w:tblGrid>
      <w:tr>
        <w:trPr/>
        <w:tc>
          <w:tcPr>
            <w:tcW w:w="3754" w:type="dxa"/>
            <w:gridSpan w:val="2"/>
            <w:tcBorders/>
            <w:vAlign w:val="center"/>
          </w:tcPr>
          <w:p>
            <w:pPr>
              <w:pStyle w:val="TableContents"/>
              <w:bidi w:val="0"/>
              <w:spacing w:before="0" w:after="283"/>
              <w:jc w:val="left"/>
              <w:rPr/>
            </w:pPr>
            <w:r>
              <w:rPr/>
              <w:t> </w:t>
            </w:r>
            <w:r>
              <w:rPr>
                <w:sz w:val="20"/>
              </w:rPr>
              <w:t>Schedule of restricted common stock activity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Unvested</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Issuable</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br/>
              <w:t>at Date of</w:t>
              <w:br/>
              <w:t>Issuance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w:t>
              <w:br/>
              <w:t xml:space="preserve">Average </w:t>
              <w:br/>
              <w:t>Grant Date</w:t>
              <w:b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(65,050,000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(65,050,000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granted its Chief Executive Officer 32,500,000 shares of the Company’s restricted stock with an aggregate fair value of $13 or $0.0004 per share. The restricted stock grant vests monthly over 24 months.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granted its Chairman of the Board 32,500,000 shares of the Company’s restricted stock with an aggregate fair value of $13 or $0.0004 per share. The restricted stock grant vests monthly over 24 months.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2024, the Company granted its Chairman of the Board 75,000 shares of the Company’s restricted stock with an aggregate fair value of $43 or $0.57 per share. The restricted stock grant vests 33.33% on October 1, 2024, 33.33% on January 10, 2025, and 33.34% on the date of the Company’s annual meeting.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recognized stock-based compensation expense of $26 and $0, respectively, and issued 65,050,000 and 450,000 shares of restricted stock based on the vesting terms of the grants, respectively. As of December 31, 2025, no unamortized stock compensation expense remained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Employee Stock Purchase Plan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Board of Directors adopted the 2024 Employee Stock Purchase Plan (the “2024 ESPP”), which has been approved by the Company’s shareholders. The 2024 ESPP provides eligible employees with an opportunity to purchase shares of the Company’s Common Stock through accumulated contributions, which generally will be made through payroll deductions. The 2024 ESPP permits the administrator of the 2024 ESPP to grant purchase rights that qualify for preferential tax treatment under Section 423 of the Internal Revenue Code of 1986 (the “Code”). In addition, the 2024 ESPP authorizes the grant of purchase rights that do not qualify under Code Section 423 pursuant to rules, procedures or sub-plans adopted by the administrator that are designed to achieve desired tax or other objectives. As of December 31, 2024, 581,858 shares (the “Initial ESPP Limit”) of the Company’s Common Stock were reserved for issuance under the 2024 ESPP. The 2024 ESPP provides that the number of shares of the Company’s Common Stock reserved and available for issuance under such plan will automatically increase each January 1, beginning on January 1, 2025 and on each January 1 thereafter, by the least of the Initial ESPP Limit, 1% of the outstanding number of shares of the Company’s Common Stock on the immediately preceding December 31, or such lesser amount as determined by the plan administrator.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508"/>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F-40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offering of the Company’s Common Stock under the 2024 ESPP will be for a period of year (the “offering period”). The first offering period under the 2024 ESPP will begin and end on such date or dates as determined by the plan administrator. Subsequent offerings under the 2024 ESPP will generally begin on the first business day occurring on or after each January 1 and July 1 and will end on the last business day occurring before the following July 1 and January 1, respectively. Shares are purchased on the last business day of each offering period (the “exercise date”).</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exercise date of each offering period, the eligible employee is deemed to have exercised the option, at the exercise price, for the lowest of (i) a number of shares of the Company’s Common Stock determined by dividing such employee’s accumulated payroll deductions or contributions on such exercise date by the exercise price; (ii) the number of shares of the Company’s Common Stock determined by dividing $25 by the fair market value of the Company’s Common Stock on the first day of such offering period; or (iii) such lesser number as established by the plan administrator in advance of the offering. The exercise price is equal to the lesser of (i) 85% the fair market value per share of the Company’s Common Stock on the first day of the offering period or (ii) 85% of the fair market value per share of the Company’s Common Stock on the exercise date. The maximum number of shares of the Company’s Common Stock that may be issued to any eligible employee under the 2024 ESPP in a calendar year is a number of shares of the </w:t>
      </w:r>
      <w:r>
        <w:rPr>
          <w:rFonts w:ascii="Times New Roman;Times;Serif" w:hAnsi="Times New Roman;Times;Serif"/>
          <w:b w:val="false"/>
          <w:i w:val="false"/>
          <w:caps w:val="false"/>
          <w:smallCaps w:val="false"/>
          <w:spacing w:val="-1"/>
          <w:sz w:val="20"/>
        </w:rPr>
        <w:t>Company’s Common Stock determined by dividing $25 by the fair market value of the Company’s Common Stock, valued at the start of the offering period,</w:t>
      </w:r>
      <w:r>
        <w:rPr>
          <w:rFonts w:ascii="Times New Roman;Times;Serif" w:hAnsi="Times New Roman;Times;Serif"/>
          <w:b w:val="false"/>
          <w:i w:val="false"/>
          <w:caps w:val="false"/>
          <w:smallCaps w:val="false"/>
          <w:sz w:val="20"/>
        </w:rPr>
        <w:t xml:space="preserve"> or such other lesser number of shares as determined by the plan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not issued any shares under the 2024 ESPP.</w:t>
      </w:r>
    </w:p>
    <w:p>
      <w:pPr>
        <w:pStyle w:val="TextBody"/>
        <w:bidi w:val="0"/>
        <w:spacing w:before="0" w:after="0"/>
        <w:ind w:left="508"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following table below summarizes the classification of the Company’s stock-based compensation expense related to stock options and restricted</w:t>
      </w:r>
      <w:r>
        <w:rPr>
          <w:rFonts w:ascii="Times New Roman;Times;Serif" w:hAnsi="Times New Roman;Times;Serif"/>
          <w:b w:val="false"/>
          <w:i w:val="false"/>
          <w:caps w:val="false"/>
          <w:smallCaps w:val="false"/>
          <w:sz w:val="20"/>
        </w:rPr>
        <w:t xml:space="preserve"> Common Stock in the consolidated statements of operations and comprehensive loss:</w:t>
      </w:r>
    </w:p>
    <w:tbl>
      <w:tblPr>
        <w:tblW w:w="8843" w:type="dxa"/>
        <w:jc w:val="left"/>
        <w:tblInd w:w="0" w:type="dxa"/>
        <w:tblLayout w:type="fixed"/>
        <w:tblCellMar>
          <w:top w:w="0" w:type="dxa"/>
          <w:left w:w="0" w:type="dxa"/>
          <w:bottom w:w="0" w:type="dxa"/>
          <w:right w:w="0" w:type="dxa"/>
        </w:tblCellMar>
      </w:tblPr>
      <w:tblGrid>
        <w:gridCol w:w="6800"/>
        <w:gridCol w:w="60"/>
        <w:gridCol w:w="229"/>
        <w:gridCol w:w="615"/>
        <w:gridCol w:w="110"/>
        <w:gridCol w:w="110"/>
        <w:gridCol w:w="229"/>
        <w:gridCol w:w="615"/>
        <w:gridCol w:w="75"/>
      </w:tblGrid>
      <w:tr>
        <w:trPr/>
        <w:tc>
          <w:tcPr>
            <w:tcW w:w="6800" w:type="dxa"/>
            <w:tcBorders/>
            <w:vAlign w:val="center"/>
          </w:tcPr>
          <w:p>
            <w:pPr>
              <w:pStyle w:val="TableContents"/>
              <w:bidi w:val="0"/>
              <w:spacing w:before="0" w:after="283"/>
              <w:jc w:val="left"/>
              <w:rPr/>
            </w:pPr>
            <w:r>
              <w:rPr/>
              <w:t> </w:t>
            </w:r>
            <w:r>
              <w:rPr>
                <w:sz w:val="20"/>
              </w:rPr>
              <w:t>Summary of the classification of the company's stock-based compensation expense</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Operating leases </w:t>
      </w:r>
      <w:r>
        <w:rPr>
          <w:rFonts w:ascii="Times New Roman;Times;Serif" w:hAnsi="Times New Roman;Times;Serif"/>
          <w:b w:val="false"/>
          <w:i w:val="false"/>
          <w:caps w:val="false"/>
          <w:smallCaps w:val="false"/>
          <w:sz w:val="20"/>
        </w:rPr>
        <w:t>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lessee, the Company leases certain office spaces under non-cancelable operating leases located in the United States and Canada. All of the Company’s long-term lease agreements expired prior to and as of December 31, 2024. On May 7, 2024, the Company entered into a month-to-month lease in Canada that commenced on June 1, 2024, which was terminated in connection with the Operational Cessation (Note 1).</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entered into a six-month office lease for office space in the United States that qualifies as a short-term lease. Operating lease payments are expensed using the straight-line method as an operating expense over the lease term. Lease expense for the year ended December 31, 2025 and 2024 was $6 and $428,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F-41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a 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 Significant expense categories are not presented, as the expense information regularly provided to the CODM is presented on the same basis as the consolidated statements of operations and comprehensive income (loss). The CODM relies on consolidated net loss as a comprehensive measure of the Company, considering all revenues and expenses, including cost of revenue, research and development expenses, general and administrative expenses and sales and marketing expenses, to assess the Company’s overall performance and inform strategic decisions on cost control, pricing and investments. Additionally, the CODM also reviews total assets to assess the Company's financial position and resource allocation. The measure of segment assets is reported on the consolidated balance sheet as total consolidated assets. The Company’s long-lived assets consist primarily of property and equipment, net. As of December 31, 2025 the Company does not have material long-term assets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16. Income Taxes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(loss) income before provision for income taxes for the years ended December 31, 2025 and 2024 were:</w:t>
      </w:r>
    </w:p>
    <w:tbl>
      <w:tblPr>
        <w:tblW w:w="8187" w:type="dxa"/>
        <w:jc w:val="left"/>
        <w:tblInd w:w="0" w:type="dxa"/>
        <w:tblLayout w:type="fixed"/>
        <w:tblCellMar>
          <w:top w:w="0" w:type="dxa"/>
          <w:left w:w="0" w:type="dxa"/>
          <w:bottom w:w="0" w:type="dxa"/>
          <w:right w:w="0" w:type="dxa"/>
        </w:tblCellMar>
      </w:tblPr>
      <w:tblGrid>
        <w:gridCol w:w="6125"/>
        <w:gridCol w:w="60"/>
        <w:gridCol w:w="158"/>
        <w:gridCol w:w="615"/>
        <w:gridCol w:w="76"/>
        <w:gridCol w:w="76"/>
        <w:gridCol w:w="158"/>
        <w:gridCol w:w="824"/>
        <w:gridCol w:w="95"/>
      </w:tblGrid>
      <w:tr>
        <w:trPr/>
        <w:tc>
          <w:tcPr>
            <w:tcW w:w="6125" w:type="dxa"/>
            <w:tcBorders/>
            <w:vAlign w:val="center"/>
          </w:tcPr>
          <w:p>
            <w:pPr>
              <w:pStyle w:val="TableContents"/>
              <w:bidi w:val="0"/>
              <w:spacing w:before="0" w:after="283"/>
              <w:jc w:val="left"/>
              <w:rPr>
                <w:sz w:val="20"/>
              </w:rPr>
            </w:pPr>
            <w:r>
              <w:rPr>
                <w:sz w:val="20"/>
              </w:rPr>
              <w:t>Schedule of components of (loss) income before provision for income taxes</w:t>
            </w:r>
          </w:p>
        </w:tc>
        <w:tc>
          <w:tcPr>
            <w:tcW w:w="60" w:type="dxa"/>
            <w:tcBorders/>
            <w:vAlign w:val="center"/>
          </w:tcPr>
          <w:p>
            <w:pPr>
              <w:pStyle w:val="TableContents"/>
              <w:bidi w:val="0"/>
              <w:spacing w:before="0" w:after="283"/>
              <w:jc w:val="left"/>
              <w:rPr/>
            </w:pPr>
            <w:r>
              <w:rPr/>
              <w:t> </w:t>
            </w:r>
          </w:p>
        </w:tc>
        <w:tc>
          <w:tcPr>
            <w:tcW w:w="773"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a reconciliation of the effective income tax rate to the U.S. statutory rate is as follows: </w:t>
      </w:r>
    </w:p>
    <w:tbl>
      <w:tblPr>
        <w:tblW w:w="5758" w:type="dxa"/>
        <w:jc w:val="left"/>
        <w:tblInd w:w="0" w:type="dxa"/>
        <w:tblLayout w:type="fixed"/>
        <w:tblCellMar>
          <w:top w:w="0" w:type="dxa"/>
          <w:left w:w="0" w:type="dxa"/>
          <w:bottom w:w="0" w:type="dxa"/>
          <w:right w:w="0" w:type="dxa"/>
        </w:tblCellMar>
      </w:tblPr>
      <w:tblGrid>
        <w:gridCol w:w="3530"/>
        <w:gridCol w:w="60"/>
        <w:gridCol w:w="210"/>
        <w:gridCol w:w="488"/>
        <w:gridCol w:w="412"/>
        <w:gridCol w:w="100"/>
        <w:gridCol w:w="210"/>
        <w:gridCol w:w="488"/>
        <w:gridCol w:w="260"/>
      </w:tblGrid>
      <w:tr>
        <w:trPr/>
        <w:tc>
          <w:tcPr>
            <w:tcW w:w="3530" w:type="dxa"/>
            <w:tcBorders/>
            <w:vAlign w:val="center"/>
          </w:tcPr>
          <w:p>
            <w:pPr>
              <w:pStyle w:val="TableContents"/>
              <w:bidi w:val="0"/>
              <w:spacing w:before="0" w:after="283"/>
              <w:jc w:val="left"/>
              <w:rPr/>
            </w:pPr>
            <w:r>
              <w:rPr/>
              <w:t>Schedule of effective income tax rate</w:t>
            </w:r>
          </w:p>
        </w:tc>
        <w:tc>
          <w:tcPr>
            <w:tcW w:w="6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 Ended December 31,</w:t>
            </w:r>
          </w:p>
        </w:tc>
        <w:tc>
          <w:tcPr>
            <w:tcW w:w="2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41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9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26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Federal tax benefit at statutory rate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20"/>
              </w:rPr>
            </w:pPr>
            <w:r>
              <w:rPr>
                <w:sz w:val="20"/>
              </w:rPr>
              <w:t>$</w:t>
            </w:r>
          </w:p>
        </w:tc>
        <w:tc>
          <w:tcPr>
            <w:tcW w:w="488" w:type="dxa"/>
            <w:tcBorders/>
            <w:shd w:fill="CCEEFF" w:val="clear"/>
            <w:vAlign w:val="center"/>
          </w:tcPr>
          <w:p>
            <w:pPr>
              <w:pStyle w:val="TableContents"/>
              <w:bidi w:val="0"/>
              <w:spacing w:before="0" w:after="283"/>
              <w:jc w:val="right"/>
              <w:rPr>
                <w:sz w:val="20"/>
              </w:rPr>
            </w:pPr>
            <w:r>
              <w:rPr>
                <w:sz w:val="20"/>
              </w:rPr>
              <w:t>21</w:t>
            </w:r>
          </w:p>
        </w:tc>
        <w:tc>
          <w:tcPr>
            <w:tcW w:w="412" w:type="dxa"/>
            <w:tcBorders/>
            <w:shd w:fill="CCEEFF" w:val="clear"/>
            <w:vAlign w:val="center"/>
          </w:tcPr>
          <w:p>
            <w:pPr>
              <w:pStyle w:val="TableContents"/>
              <w:bidi w:val="0"/>
              <w:spacing w:before="0" w:after="283"/>
              <w:jc w:val="lef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20"/>
              </w:rPr>
            </w:pPr>
            <w:r>
              <w:rPr>
                <w:sz w:val="20"/>
              </w:rPr>
              <w:t>$</w:t>
            </w:r>
          </w:p>
        </w:tc>
        <w:tc>
          <w:tcPr>
            <w:tcW w:w="488" w:type="dxa"/>
            <w:tcBorders/>
            <w:shd w:fill="CCEEFF" w:val="clear"/>
            <w:vAlign w:val="center"/>
          </w:tcPr>
          <w:p>
            <w:pPr>
              <w:pStyle w:val="TableContents"/>
              <w:bidi w:val="0"/>
              <w:spacing w:before="0" w:after="283"/>
              <w:jc w:val="right"/>
              <w:rPr>
                <w:sz w:val="20"/>
              </w:rPr>
            </w:pPr>
            <w:r>
              <w:rPr>
                <w:sz w:val="20"/>
              </w:rPr>
              <w:t>21</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3530" w:type="dxa"/>
            <w:tcBorders/>
            <w:shd w:fill="FFFFFF" w:val="clear"/>
            <w:vAlign w:val="center"/>
          </w:tcPr>
          <w:p>
            <w:pPr>
              <w:pStyle w:val="TableContents"/>
              <w:bidi w:val="0"/>
              <w:spacing w:before="0" w:after="283"/>
              <w:jc w:val="left"/>
              <w:rPr>
                <w:sz w:val="20"/>
              </w:rPr>
            </w:pPr>
            <w:r>
              <w:rPr>
                <w:sz w:val="20"/>
              </w:rPr>
              <w:t>State tax benefit, net of federal benefit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sz w:val="20"/>
              </w:rPr>
            </w:pPr>
            <w:r>
              <w:rPr>
                <w:sz w:val="20"/>
              </w:rPr>
              <w:t>8</w:t>
            </w:r>
          </w:p>
        </w:tc>
        <w:tc>
          <w:tcPr>
            <w:tcW w:w="412" w:type="dxa"/>
            <w:tcBorders/>
            <w:shd w:fill="FFFFFF" w:val="clear"/>
            <w:vAlign w:val="center"/>
          </w:tcPr>
          <w:p>
            <w:pPr>
              <w:pStyle w:val="TableContents"/>
              <w:bidi w:val="0"/>
              <w:spacing w:before="0" w:after="283"/>
              <w:jc w:val="left"/>
              <w:rPr>
                <w:sz w:val="20"/>
              </w:rPr>
            </w:pPr>
            <w:r>
              <w:rPr>
                <w:sz w:val="20"/>
              </w:rPr>
              <w:t>%</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sz w:val="20"/>
              </w:rPr>
            </w:pPr>
            <w:r>
              <w:rPr>
                <w:sz w:val="20"/>
              </w:rPr>
              <w:t>8</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530" w:type="dxa"/>
            <w:tcBorders/>
            <w:shd w:fill="CCEEFF" w:val="clear"/>
            <w:vAlign w:val="center"/>
          </w:tcPr>
          <w:p>
            <w:pPr>
              <w:pStyle w:val="TableContents"/>
              <w:bidi w:val="0"/>
              <w:spacing w:before="0" w:after="283"/>
              <w:jc w:val="left"/>
              <w:rPr>
                <w:sz w:val="20"/>
              </w:rPr>
            </w:pPr>
            <w:r>
              <w:rPr>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w:t>
            </w:r>
          </w:p>
        </w:tc>
        <w:tc>
          <w:tcPr>
            <w:tcW w:w="412" w:type="dxa"/>
            <w:tcBorders/>
            <w:shd w:fill="CCEEFF" w:val="clear"/>
            <w:vAlign w:val="center"/>
          </w:tcPr>
          <w:p>
            <w:pPr>
              <w:pStyle w:val="TableContents"/>
              <w:bidi w:val="0"/>
              <w:spacing w:before="0" w:after="283"/>
              <w:jc w:val="lef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41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following table summarizes our deferred tax asset: </w:t>
      </w:r>
    </w:p>
    <w:tbl>
      <w:tblPr>
        <w:tblW w:w="4707" w:type="dxa"/>
        <w:jc w:val="left"/>
        <w:tblInd w:w="0" w:type="dxa"/>
        <w:tblLayout w:type="fixed"/>
        <w:tblCellMar>
          <w:top w:w="0" w:type="dxa"/>
          <w:left w:w="0" w:type="dxa"/>
          <w:bottom w:w="0" w:type="dxa"/>
          <w:right w:w="0" w:type="dxa"/>
        </w:tblCellMar>
      </w:tblPr>
      <w:tblGrid>
        <w:gridCol w:w="2645"/>
        <w:gridCol w:w="60"/>
        <w:gridCol w:w="141"/>
        <w:gridCol w:w="734"/>
        <w:gridCol w:w="90"/>
        <w:gridCol w:w="67"/>
        <w:gridCol w:w="141"/>
        <w:gridCol w:w="734"/>
        <w:gridCol w:w="95"/>
      </w:tblGrid>
      <w:tr>
        <w:trPr/>
        <w:tc>
          <w:tcPr>
            <w:tcW w:w="2645" w:type="dxa"/>
            <w:tcBorders/>
            <w:vAlign w:val="center"/>
          </w:tcPr>
          <w:p>
            <w:pPr>
              <w:pStyle w:val="TableContents"/>
              <w:bidi w:val="0"/>
              <w:spacing w:before="0" w:after="283"/>
              <w:jc w:val="left"/>
              <w:rPr>
                <w:sz w:val="20"/>
              </w:rPr>
            </w:pPr>
            <w:r>
              <w:rPr>
                <w:sz w:val="20"/>
              </w:rPr>
              <w:t>Schedule of deferred tax asset</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32,524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(32,524</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tax asset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differs from the expense that would result from applying statutory rates to income before income taxes. The differences primarily result from changes in valuation allowance.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F-42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is in a net deferred tax asset position before valuation allowance. The future realization of the tax benefits from existing temporary differences and tax attributes ultimately depends on the existence of sufficient future taxable income. In assessing the realization of the deferred tax assets, the Company considers whether deferred tax assets will not be realized. The Company considers projected future taxable income, scheduled reversal of existing deferred tax liabilities, and tax planning strategies in making this assessment. As of December 31, 2025 and 2024, the Company has considered all available evidence, both positive and negative, and determined that it is more likely than not that the Company’s net deferred tax assets will not be realized. Accordingly, the Company maintained a full valuation allowance as of December 31, 2025 and 2024. The change in the valuation allowance for years ended December 31, 2025 and 2024 was an increase of $1,062 and $5,422,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net operating loss carryforwards totaling $71,126, which are available to reduce the Company’s future taxes and have an unlimited carryforward period. As of December 31, 2025, the Company had state net operating loss carryforwards totaling $41,027.</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future realization of the net operating loss carryforwards may be limited by the change in ownership rules under Section 382 of the Internal Revenue Code (“Section 382”). Under Section 382, if a corporation undergoes an ownership change (as defined), the corporation’s ability to utilize its net operating loss carryforwards and other tax attributes to offset income may be limited. The Company has not completed a study to assess whether a change of ownership has occurred, or whether there have been multiple ownership changes since its formation. Any limitation may result in expiration of a portion of the net operating loss carryforwards or research and development credit carryforward before utilization.</w:t>
      </w:r>
      <w:r>
        <w:rPr>
          <w:rFonts w:ascii="Times New Roman;Times;Serif" w:hAnsi="Times New Roman;Times;Serif"/>
          <w:b w:val="false"/>
          <w:i w:val="false"/>
          <w:caps w:val="false"/>
          <w:smallCaps w:val="false"/>
          <w:sz w:val="24"/>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federal tax jurisdiction and in various state and foreign jurisdictions in which it operates and is therefore subject to tax examination by various taxing authorities. Since the Company is in a loss carryforward position, the Company is generally subject to examination by the U.S. federal, foreign, state and local income tax authorities for all tax years in which a loss carryforward is available. The Company is currently not under examination by the Internal Revenue Service or any other jurisdiction for any tax years. The Company has not recorded any interest or penalties on any unrecognized tax benefits as of December 31, 2025 and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 tax positions recognized in the consolidated financial statements following a more-likely-than-not threshold for financial statement recognition and measurement of a tax position taken or expected to be taken in a tax return. When uncertain tax positions exist, the Company recognizes the tax benefit of tax positions to the extent that the benefit will more likely than not be realized. As of December 31, 2025 and 2024, the Company has not identified any uncertain tax positions. The Company will recognize interest and penalties, if any, related to uncertain tax positions in income tax expense. As of December 31, 2025, no interest or penalties have been accrued.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17. Net 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the two-class method when computing net (income) loss per share attributable to Common Stockholders as the Company has </w:t>
      </w:r>
      <w:r>
        <w:rPr>
          <w:rFonts w:ascii="Times New Roman;Times;Serif" w:hAnsi="Times New Roman;Times;Serif"/>
          <w:b w:val="false"/>
          <w:i w:val="false"/>
          <w:caps w:val="false"/>
          <w:smallCaps w:val="false"/>
          <w:spacing w:val="-1"/>
          <w:sz w:val="20"/>
        </w:rPr>
        <w:t>issued shares that meet the definition of participating securities. The two-class method determines net loss per share for each class of common and</w:t>
      </w:r>
      <w:r>
        <w:rPr>
          <w:rFonts w:ascii="Times New Roman;Times;Serif" w:hAnsi="Times New Roman;Times;Serif"/>
          <w:b w:val="false"/>
          <w:i w:val="false"/>
          <w:caps w:val="false"/>
          <w:smallCaps w:val="false"/>
          <w:sz w:val="20"/>
        </w:rPr>
        <w:t xml:space="preserve">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There is no allocation required under the two-class method during periods of loss since the participating securities do not have a contractual obligation to share in the losses of the Company. The convertible preferred stock was determined to be participating security, and for all periods presented in which the convertible preferred stock was outstanding, the Company incurred a net loss; therefore, no allocation is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loss per share available to Common Stockholders is computed by dividing the net loss attributable to Common Stockholders by the weighted-average number of common shares outstanding for the periods presented. The weighted-average number of Common Stock outstanding excludes </w:t>
      </w:r>
      <w:r>
        <w:rPr>
          <w:rFonts w:ascii="Times New Roman;Times;Serif" w:hAnsi="Times New Roman;Times;Serif"/>
          <w:b w:val="false"/>
          <w:i w:val="false"/>
          <w:caps w:val="false"/>
          <w:smallCaps w:val="false"/>
          <w:spacing w:val="-1"/>
          <w:sz w:val="20"/>
        </w:rPr>
        <w:t xml:space="preserve">any unvested shares that have not met their vesting conditions during the periods presented. </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Diluted net loss per share reflects the potential dilution that could occur using the treasury stock and if-converted methods, as applicable. </w:t>
      </w:r>
      <w:r>
        <w:rPr>
          <w:rFonts w:ascii="Times New Roman;Times;Serif" w:hAnsi="Times New Roman;Times;Serif"/>
          <w:b w:val="false"/>
          <w:i w:val="false"/>
          <w:caps w:val="false"/>
          <w:smallCaps w:val="false"/>
          <w:spacing w:val="-1"/>
          <w:sz w:val="20"/>
        </w:rPr>
        <w:t>For purposes of this calculation, outstanding stock options and</w:t>
      </w:r>
      <w:r>
        <w:rPr>
          <w:rFonts w:ascii="Times New Roman;Times;Serif" w:hAnsi="Times New Roman;Times;Serif"/>
          <w:b w:val="false"/>
          <w:i w:val="false"/>
          <w:caps w:val="false"/>
          <w:smallCaps w:val="false"/>
          <w:sz w:val="20"/>
        </w:rPr>
        <w:t xml:space="preserve"> warrants to purchase Common Stock, Unvested Shares, unvested RSUs, Senior Secured Notes including accrued interest and the potential issuance of Common Stock upon the conversion of the Convertible Preferred Stock prior to the Closing of the Merger were considered Common Stock equivalents, but were excluded from the calculation of diluted net loss per share for all periods in which the Company reported a net loss, as their effect was anti-dilutive.</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F-43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in periods in which the Company reports a net loss available to Common Stockholders, diluted net loss per share available to Common Stockholders is the same as basic net loss per share available to Common Stockholders, since dilutive common shares are not assumed to have been issued if their effect is anti-dilutive.</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509" w:right="0" w:hanging="0"/>
        <w:jc w:val="left"/>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The following table sets forth the computation of net loss per share:</w:t>
      </w:r>
    </w:p>
    <w:tbl>
      <w:tblPr>
        <w:tblW w:w="9045" w:type="dxa"/>
        <w:jc w:val="left"/>
        <w:tblInd w:w="0" w:type="dxa"/>
        <w:tblLayout w:type="fixed"/>
        <w:tblCellMar>
          <w:top w:w="0" w:type="dxa"/>
          <w:left w:w="0" w:type="dxa"/>
          <w:bottom w:w="0" w:type="dxa"/>
          <w:right w:w="0" w:type="dxa"/>
        </w:tblCellMar>
      </w:tblPr>
      <w:tblGrid>
        <w:gridCol w:w="6515"/>
        <w:gridCol w:w="60"/>
        <w:gridCol w:w="125"/>
        <w:gridCol w:w="1055"/>
        <w:gridCol w:w="60"/>
        <w:gridCol w:w="60"/>
        <w:gridCol w:w="125"/>
        <w:gridCol w:w="950"/>
        <w:gridCol w:w="95"/>
      </w:tblGrid>
      <w:tr>
        <w:trPr/>
        <w:tc>
          <w:tcPr>
            <w:tcW w:w="6515" w:type="dxa"/>
            <w:tcBorders/>
            <w:vAlign w:val="center"/>
          </w:tcPr>
          <w:p>
            <w:pPr>
              <w:pStyle w:val="TableContents"/>
              <w:bidi w:val="0"/>
              <w:spacing w:before="0" w:after="283"/>
              <w:jc w:val="left"/>
              <w:rPr/>
            </w:pPr>
            <w:r>
              <w:rPr>
                <w:sz w:val="20"/>
              </w:rPr>
              <w:t>Schedule of potential common shares, presented based on amounts outstanding</w:t>
            </w: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101,862,348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227,397,251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 attributable to Common Stockholders,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 attributable to Common Stockholders,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84" w:right="84" w:firstLine="508"/>
        <w:jc w:val="left"/>
        <w:rPr>
          <w:rFonts w:ascii="Times New Roman;Times;Serif" w:hAnsi="Times New Roman;Times;Serif"/>
          <w:b w:val="false"/>
          <w:i w:val="false"/>
          <w:caps w:val="false"/>
          <w:smallCaps w:val="false"/>
          <w:color w:val="010302"/>
          <w:sz w:val="20"/>
        </w:rPr>
      </w:pPr>
      <w:r>
        <w:rPr>
          <w:rFonts w:ascii="Times New Roman;Times;Serif" w:hAnsi="Times New Roman;Times;Serif"/>
          <w:b w:val="false"/>
          <w:i w:val="false"/>
          <w:caps w:val="false"/>
          <w:smallCaps w:val="false"/>
          <w:color w:val="010302"/>
          <w:sz w:val="20"/>
        </w:rPr>
        <w:t>The table below presents Common Stock equivalents that were excluded from the calculation of diluted net loss per share for the periods presented.</w:t>
      </w:r>
    </w:p>
    <w:tbl>
      <w:tblPr>
        <w:tblW w:w="8559" w:type="dxa"/>
        <w:jc w:val="left"/>
        <w:tblInd w:w="0" w:type="dxa"/>
        <w:tblLayout w:type="fixed"/>
        <w:tblCellMar>
          <w:top w:w="0" w:type="dxa"/>
          <w:left w:w="0" w:type="dxa"/>
          <w:bottom w:w="0" w:type="dxa"/>
          <w:right w:w="0" w:type="dxa"/>
        </w:tblCellMar>
      </w:tblPr>
      <w:tblGrid>
        <w:gridCol w:w="6515"/>
        <w:gridCol w:w="60"/>
        <w:gridCol w:w="79"/>
        <w:gridCol w:w="342"/>
        <w:gridCol w:w="79"/>
        <w:gridCol w:w="79"/>
        <w:gridCol w:w="79"/>
        <w:gridCol w:w="1251"/>
        <w:gridCol w:w="75"/>
      </w:tblGrid>
      <w:tr>
        <w:trPr/>
        <w:tc>
          <w:tcPr>
            <w:tcW w:w="6515" w:type="dxa"/>
            <w:tcBorders/>
            <w:vAlign w:val="center"/>
          </w:tcPr>
          <w:p>
            <w:pPr>
              <w:pStyle w:val="TableContents"/>
              <w:bidi w:val="0"/>
              <w:spacing w:before="0" w:after="283"/>
              <w:jc w:val="left"/>
              <w:rPr/>
            </w:pPr>
            <w:r>
              <w:rPr>
                <w:sz w:val="20"/>
              </w:rPr>
              <w:t>Schedule of potential common shares, presented based on amounts outstanding</w:t>
            </w:r>
            <w:r>
              <w:rPr/>
              <w:t> </w:t>
            </w:r>
          </w:p>
        </w:tc>
        <w:tc>
          <w:tcPr>
            <w:tcW w:w="60" w:type="dxa"/>
            <w:tcBorders/>
            <w:vAlign w:val="center"/>
          </w:tcPr>
          <w:p>
            <w:pPr>
              <w:pStyle w:val="TableContents"/>
              <w:bidi w:val="0"/>
              <w:spacing w:before="0" w:after="283"/>
              <w:jc w:val="left"/>
              <w:rPr/>
            </w:pPr>
            <w:r>
              <w:rPr/>
              <w:t> </w:t>
            </w:r>
          </w:p>
        </w:tc>
        <w:tc>
          <w:tcPr>
            <w:tcW w:w="421"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 including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263,142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11,499,982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1,129,630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to purchase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2,956,748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4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29,449,502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former member of the Board of Directors of Legacy Zapata that left the Board of Directors in March 2024 also provided consulting services to the Company. For the year ended December 31, 2025 and 2024, the Company remitted fees of $0 and $48 to the member of its Board of Directors for these services,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Andretti Agreements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Legacy Zapata entered into a sponsorship agreement for marketing services to be provided by Andretti Autosport Holding Company, LLC (f/k/a Andretti Autosport Holding Company, Inc., “Andretti Global”). The total commitment under the sponsorship agreement is $8,000 and is due and payable over the period of February 2022 through December 2024. Through December 31, 2024, the Company paid $3,500, leaving $4,500 included in accounts payable as of December 31, 2024. During the year ended December 31, 2024, the Company recognized $2,783 of expenses under the sponsorship agreement. On March 28, 2024, Legacy Zapata entered into a sponsorship agreement with Andretti Autosport 1, LLC, an affiliate of Andretti Global. The agreement expired on December 31, 2024. Subject to the agreement, Legacy Zapata is responsible for payments under the sponsorship agreement in an amount totaling $1,000 that was recognized as expense during the year ended December 31, 2024 and was outstanding as of that date. During the fourth quarter of 2025, the Company entered into a Conversion Agreement that converted $5,504 of accounts payable owed to Andretti Global and its affiliate, Andretti Autosport 1, LLC, less an accounts receivable balance of $1,567, which was subsequently converted into the Company’s Common Stock in the fourth quarter of 2025. As of December 31, 2025, no remaining balance is owed Andretti Global and its affiliates.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AAC’s affiliates, Andretti Global, has preexisting contractual relationships with Legacy Zapata. In February 2022, Andretti Global entered into i) an enterprise solution subscription agreement and ii) a sponsorship agreement with Legacy Zapata, both of which expire on December 31, 2024. During the year ended December 31, 2025 and 2024, the Company recorded $0 and $1,300 in revenue related to the enterprise solution subscription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F-44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Officers and Directors</w:t>
      </w:r>
    </w:p>
    <w:p>
      <w:pPr>
        <w:pStyle w:val="TextBody"/>
        <w:bidi w:val="0"/>
        <w:spacing w:before="0" w:after="0"/>
        <w:ind w:left="0" w:right="0" w:firstLine="554"/>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granted its Chief Executive Officer 32,500,000 shares of the Company’s restricted stock with an aggregate fair value of $13 or $0.0004 per share. The restricted stock grant vests monthly over 24 months.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granted its Chairman of the Board 32,500,000 shares of the Company’s restricted stock with an aggregate fair value of $13 or $0.0004 per share. The restricted stock grant vests monthly over 24 months.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subsequent to December 31, 2025 and through March 31, 2026, which represents the date these consolidated financial statements were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56,816,391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74643</Words>
  <Characters>415732</Characters>
  <CharactersWithSpaces>493874</CharactersWithSpaces>
  <Paragraphs>11773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Zapata Quantum, Inc. S-1</dc:title>
</cp:coreProperties>
</file>