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hyperlink w:anchor="toc">
        <w:bookmarkStart w:id="0" w:name="zapata_i10q-063026.htm"/>
        <w:bookmarkStart w:id="1" w:name="kszapata_i10q063026"/>
        <w:bookmarkEnd w:id="0"/>
        <w:bookmarkEnd w:id="1"/>
        <w:r>
          <w:rPr>
            <w:rStyle w:val="InternetLink"/>
            <w:rFonts w:ascii="Times New Roman;Times;Serif" w:hAnsi="Times New Roman;Times;Serif"/>
            <w:b w:val="false"/>
            <w:i w:val="false"/>
            <w:caps w:val="false"/>
            <w:smallCaps w:val="false"/>
            <w:sz w:val="14"/>
          </w:rPr>
          <w:t>Table of Contents</w:t>
        </w:r>
      </w:hyperlink>
    </w:p>
    <w:p>
      <w:pPr>
        <w:pStyle w:val="TextBody"/>
        <w:bidi w:val="0"/>
        <w:spacing w:before="60" w:after="60"/>
        <w:ind w:left="60" w:right="60" w:hanging="0"/>
        <w:jc w:val="left"/>
        <w:rPr>
          <w:bdr w:val="single" w:sz="24" w:space="1" w:color="000000"/>
        </w:rPr>
      </w:pPr>
      <w:r>
        <w:rPr>
          <w:bdr w:val="single" w:sz="24"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6_edei--DocumentType_c20260101__20"/>
      <w:bookmarkEnd w:id="2"/>
      <w:r>
        <w:rPr>
          <w:rFonts w:ascii="Times New Roman;Times;Serif" w:hAnsi="Times New Roman;Times;Serif"/>
          <w:b/>
          <w:i w:val="false"/>
          <w:caps w:val="false"/>
          <w:smallCaps w:val="false"/>
          <w:sz w:val="28"/>
        </w:rPr>
        <w:t>10-Q</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3" w:name="xdx_901_edei--DocumentQuarterlyReport_c2"/>
      <w:bookmarkEnd w:id="3"/>
      <w:r>
        <w:rPr>
          <w:caps w:val="false"/>
          <w:smallCaps w:val="false"/>
        </w:rPr>
        <w:t xml:space="preserve">☒ </w:t>
      </w:r>
      <w:r>
        <w:rPr>
          <w:rFonts w:ascii="Times New Roman;Times;Serif" w:hAnsi="Times New Roman;Times;Serif"/>
          <w:b/>
          <w:i w:val="false"/>
          <w:caps w:val="false"/>
          <w:smallCaps w:val="false"/>
          <w:sz w:val="20"/>
        </w:rPr>
        <w:t>QUARTERLY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quarterly period ended </w:t>
      </w:r>
      <w:bookmarkStart w:id="4" w:name="xdx_904_edei--DocumentPeriodEndDate_c202"/>
      <w:bookmarkEnd w:id="4"/>
      <w:r>
        <w:rPr>
          <w:rFonts w:ascii="Times New Roman;Times;Serif" w:hAnsi="Times New Roman;Times;Serif"/>
          <w:b/>
          <w:i w:val="false"/>
          <w:caps w:val="false"/>
          <w:smallCaps w:val="false"/>
          <w:sz w:val="20"/>
        </w:rPr>
        <w:t>June 30,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5" w:name="xdx_90A_edei--DocumentTransitionReport_c"/>
      <w:bookmarkEnd w:id="5"/>
      <w:r>
        <w:rPr>
          <w:caps w:val="false"/>
          <w:smallCaps w:val="false"/>
        </w:rPr>
        <w:t xml:space="preserve">☐ </w:t>
      </w:r>
      <w:r>
        <w:rPr>
          <w:rFonts w:ascii="Times New Roman;Times;Serif" w:hAnsi="Times New Roman;Times;Serif"/>
          <w:b/>
          <w:i w:val="false"/>
          <w:caps w:val="false"/>
          <w:smallCaps w:val="false"/>
          <w:sz w:val="20"/>
        </w:rPr>
        <w:t>TRANSITION REPORT 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transition period from ___________ to 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bookmarkStart w:id="6" w:name="xdx_902_edei--EntityFileNumber_c20260101"/>
      <w:bookmarkEnd w:id="6"/>
      <w:r>
        <w:rPr>
          <w:rFonts w:ascii="Times New Roman;Times;Serif" w:hAnsi="Times New Roman;Times;Serif"/>
          <w:b/>
          <w:i w:val="false"/>
          <w:caps w:val="false"/>
          <w:smallCaps w:val="false"/>
          <w:sz w:val="20"/>
        </w:rPr>
        <w:t>001-41218</w:t>
      </w:r>
    </w:p>
    <w:p>
      <w:pPr>
        <w:pStyle w:val="TextBody"/>
        <w:bidi w:val="0"/>
        <w:spacing w:before="0" w:after="0"/>
        <w:ind w:left="0" w:right="0" w:hanging="0"/>
        <w:jc w:val="center"/>
        <w:rPr>
          <w:caps w:val="false"/>
          <w:smallCaps w:val="false"/>
        </w:rPr>
      </w:pPr>
      <w:r>
        <w:rPr>
          <w:caps w:val="false"/>
          <w:smallCaps w:val="false"/>
        </w:rPr>
        <w:t> </w:t>
      </w:r>
    </w:p>
    <w:tbl>
      <w:tblPr>
        <w:tblW w:w="4040" w:type="dxa"/>
        <w:jc w:val="left"/>
        <w:tblInd w:w="0" w:type="dxa"/>
        <w:tblLayout w:type="fixed"/>
        <w:tblCellMar>
          <w:top w:w="0" w:type="dxa"/>
          <w:left w:w="0" w:type="dxa"/>
          <w:bottom w:w="28" w:type="dxa"/>
          <w:right w:w="0" w:type="dxa"/>
        </w:tblCellMar>
      </w:tblPr>
      <w:tblGrid>
        <w:gridCol w:w="4040"/>
      </w:tblGrid>
      <w:tr>
        <w:trPr/>
        <w:tc>
          <w:tcPr>
            <w:tcW w:w="4040" w:type="dxa"/>
            <w:tcBorders>
              <w:bottom w:val="single" w:sz="8" w:space="0" w:color="000000"/>
            </w:tcBorders>
            <w:vAlign w:val="center"/>
          </w:tcPr>
          <w:p>
            <w:pPr>
              <w:pStyle w:val="TableContents"/>
              <w:bidi w:val="0"/>
              <w:spacing w:before="0" w:after="283"/>
              <w:jc w:val="center"/>
              <w:rPr>
                <w:b/>
                <w:sz w:val="28"/>
              </w:rPr>
            </w:pPr>
            <w:bookmarkStart w:id="7" w:name="xdx_90D_edei--EntityRegistrantName_c2026"/>
            <w:bookmarkEnd w:id="7"/>
            <w:r>
              <w:rPr>
                <w:b/>
                <w:sz w:val="28"/>
              </w:rPr>
              <w:t>Zapata Quantum, Inc.</w:t>
            </w:r>
          </w:p>
        </w:tc>
      </w:tr>
      <w:tr>
        <w:trPr/>
        <w:tc>
          <w:tcPr>
            <w:tcW w:w="4040" w:type="dxa"/>
            <w:tcBorders/>
            <w:tcMar>
              <w:bottom w:w="0" w:type="dxa"/>
            </w:tcMar>
            <w:vAlign w:val="center"/>
          </w:tcPr>
          <w:p>
            <w:pPr>
              <w:pStyle w:val="TableContents"/>
              <w:bidi w:val="0"/>
              <w:spacing w:before="0" w:after="283"/>
              <w:jc w:val="center"/>
              <w:rPr>
                <w:i/>
                <w:sz w:val="20"/>
              </w:rPr>
            </w:pPr>
            <w:r>
              <w:rPr>
                <w:i/>
                <w:sz w:val="20"/>
              </w:rPr>
              <w:t>(Exact name of registrant as specified in charter)</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28" w:type="dxa"/>
          <w:right w:w="0" w:type="dxa"/>
        </w:tblCellMar>
      </w:tblPr>
      <w:tblGrid>
        <w:gridCol w:w="2585"/>
        <w:gridCol w:w="60"/>
        <w:gridCol w:w="1550"/>
      </w:tblGrid>
      <w:tr>
        <w:trPr/>
        <w:tc>
          <w:tcPr>
            <w:tcW w:w="2585" w:type="dxa"/>
            <w:tcBorders>
              <w:bottom w:val="single" w:sz="8" w:space="0" w:color="000000"/>
            </w:tcBorders>
            <w:vAlign w:val="center"/>
          </w:tcPr>
          <w:p>
            <w:pPr>
              <w:pStyle w:val="TableContents"/>
              <w:bidi w:val="0"/>
              <w:spacing w:before="0" w:after="283"/>
              <w:jc w:val="center"/>
              <w:rPr>
                <w:b/>
                <w:sz w:val="20"/>
              </w:rPr>
            </w:pPr>
            <w:bookmarkStart w:id="8" w:name="xdx_900_edei--EntityIncorporationStateCo"/>
            <w:bookmarkEnd w:id="8"/>
            <w:r>
              <w:rPr>
                <w:b/>
                <w:sz w:val="20"/>
              </w:rPr>
              <w:t>Delaware</w:t>
            </w:r>
          </w:p>
        </w:tc>
        <w:tc>
          <w:tcPr>
            <w:tcW w:w="60" w:type="dxa"/>
            <w:tcBorders/>
            <w:tcMar>
              <w:bottom w:w="0" w:type="dxa"/>
            </w:tcMar>
            <w:vAlign w:val="center"/>
          </w:tcPr>
          <w:p>
            <w:pPr>
              <w:pStyle w:val="TableContents"/>
              <w:bidi w:val="0"/>
              <w:spacing w:before="0" w:after="283"/>
              <w:jc w:val="left"/>
              <w:rPr/>
            </w:pPr>
            <w:r>
              <w:rPr/>
              <w:t> </w:t>
            </w:r>
          </w:p>
        </w:tc>
        <w:tc>
          <w:tcPr>
            <w:tcW w:w="1550" w:type="dxa"/>
            <w:tcBorders>
              <w:bottom w:val="single" w:sz="8" w:space="0" w:color="000000"/>
            </w:tcBorders>
            <w:vAlign w:val="center"/>
          </w:tcPr>
          <w:p>
            <w:pPr>
              <w:pStyle w:val="TableContents"/>
              <w:bidi w:val="0"/>
              <w:spacing w:before="0" w:after="283"/>
              <w:jc w:val="center"/>
              <w:rPr>
                <w:b/>
                <w:sz w:val="20"/>
              </w:rPr>
            </w:pPr>
            <w:bookmarkStart w:id="9" w:name="xdx_90D_edei--EntityTaxIdentificationNum"/>
            <w:bookmarkEnd w:id="9"/>
            <w:r>
              <w:rPr>
                <w:b/>
                <w:sz w:val="20"/>
              </w:rPr>
              <w:t>98-1578373</w:t>
            </w:r>
          </w:p>
        </w:tc>
      </w:tr>
      <w:tr>
        <w:trPr/>
        <w:tc>
          <w:tcPr>
            <w:tcW w:w="2585" w:type="dxa"/>
            <w:tcBorders/>
            <w:tcMar>
              <w:bottom w:w="0" w:type="dxa"/>
            </w:tcMar>
            <w:vAlign w:val="center"/>
          </w:tcPr>
          <w:p>
            <w:pPr>
              <w:pStyle w:val="TableContents"/>
              <w:bidi w:val="0"/>
              <w:spacing w:before="0" w:after="283"/>
              <w:jc w:val="center"/>
              <w:rPr>
                <w:sz w:val="20"/>
              </w:rPr>
            </w:pPr>
            <w:r>
              <w:rPr>
                <w:i/>
                <w:sz w:val="20"/>
              </w:rPr>
              <w:t>(State or other jurisdiction of</w:t>
            </w:r>
            <w:r>
              <w:rPr>
                <w:sz w:val="20"/>
              </w:rPr>
              <w:br/>
            </w:r>
            <w:r>
              <w:rPr>
                <w:i/>
                <w:sz w:val="20"/>
              </w:rPr>
              <w:t>incorporation or organization)</w:t>
            </w:r>
          </w:p>
        </w:tc>
        <w:tc>
          <w:tcPr>
            <w:tcW w:w="60" w:type="dxa"/>
            <w:tcBorders/>
            <w:tcMar>
              <w:bottom w:w="0" w:type="dxa"/>
            </w:tcMar>
            <w:vAlign w:val="center"/>
          </w:tcPr>
          <w:p>
            <w:pPr>
              <w:pStyle w:val="TableContents"/>
              <w:bidi w:val="0"/>
              <w:spacing w:before="0" w:after="283"/>
              <w:jc w:val="left"/>
              <w:rPr/>
            </w:pPr>
            <w:r>
              <w:rPr/>
              <w:t> </w:t>
            </w:r>
          </w:p>
        </w:tc>
        <w:tc>
          <w:tcPr>
            <w:tcW w:w="1550" w:type="dxa"/>
            <w:tcBorders/>
            <w:tcMar>
              <w:bottom w:w="0" w:type="dxa"/>
            </w:tcMar>
            <w:vAlign w:val="center"/>
          </w:tcPr>
          <w:p>
            <w:pPr>
              <w:pStyle w:val="TableContents"/>
              <w:bidi w:val="0"/>
              <w:spacing w:before="0" w:after="283"/>
              <w:jc w:val="center"/>
              <w:rPr>
                <w:sz w:val="20"/>
              </w:rPr>
            </w:pPr>
            <w:r>
              <w:rPr>
                <w:i/>
                <w:sz w:val="20"/>
              </w:rPr>
              <w:t>(I.R.S. Employer</w:t>
            </w:r>
            <w:r>
              <w:rPr>
                <w:sz w:val="20"/>
              </w:rPr>
              <w:br/>
            </w:r>
            <w:r>
              <w:rPr>
                <w:i/>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80" w:type="dxa"/>
        <w:jc w:val="left"/>
        <w:tblInd w:w="0" w:type="dxa"/>
        <w:tblLayout w:type="fixed"/>
        <w:tblCellMar>
          <w:top w:w="0" w:type="dxa"/>
          <w:left w:w="0" w:type="dxa"/>
          <w:bottom w:w="28" w:type="dxa"/>
          <w:right w:w="0" w:type="dxa"/>
        </w:tblCellMar>
      </w:tblPr>
      <w:tblGrid>
        <w:gridCol w:w="3215"/>
        <w:gridCol w:w="60"/>
        <w:gridCol w:w="905"/>
      </w:tblGrid>
      <w:tr>
        <w:trPr/>
        <w:tc>
          <w:tcPr>
            <w:tcW w:w="3215"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0" w:name="xdx_908_edei--EntityAddressAddressLine1_"/>
            <w:bookmarkEnd w:id="10"/>
            <w:r>
              <w:rPr>
                <w:rFonts w:ascii="Times New Roman;Times;Serif" w:hAnsi="Times New Roman;Times;Serif"/>
                <w:b/>
                <w:i w:val="false"/>
                <w:caps w:val="false"/>
                <w:smallCaps w:val="false"/>
                <w:sz w:val="20"/>
              </w:rPr>
              <w:t xml:space="preserve">6 Liberty Square, </w:t>
            </w:r>
            <w:bookmarkStart w:id="11" w:name="xdx_90F_edei--EntityAddressAddressLine2_"/>
            <w:bookmarkEnd w:id="11"/>
            <w:r>
              <w:rPr>
                <w:rFonts w:ascii="Times New Roman;Times;Serif" w:hAnsi="Times New Roman;Times;Serif"/>
                <w:b/>
                <w:i w:val="false"/>
                <w:caps w:val="false"/>
                <w:smallCaps w:val="false"/>
                <w:sz w:val="20"/>
              </w:rPr>
              <w:t>#2488</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12" w:name="xdx_905_edei--EntityAddressCityOrTown_c2"/>
            <w:bookmarkEnd w:id="12"/>
            <w:r>
              <w:rPr>
                <w:rFonts w:ascii="Times New Roman;Times;Serif" w:hAnsi="Times New Roman;Times;Serif"/>
                <w:b/>
                <w:i w:val="false"/>
                <w:caps w:val="false"/>
                <w:smallCaps w:val="false"/>
                <w:sz w:val="20"/>
              </w:rPr>
              <w:t xml:space="preserve">Boston, </w:t>
            </w:r>
            <w:bookmarkStart w:id="13" w:name="xdx_90C_edei--EntityAddressStateOrProvin"/>
            <w:bookmarkEnd w:id="13"/>
            <w:r>
              <w:rPr>
                <w:rFonts w:ascii="Times New Roman;Times;Serif" w:hAnsi="Times New Roman;Times;Serif"/>
                <w:b/>
                <w:i w:val="false"/>
                <w:caps w:val="false"/>
                <w:smallCaps w:val="false"/>
                <w:sz w:val="20"/>
              </w:rPr>
              <w:t>MA</w:t>
            </w:r>
          </w:p>
        </w:tc>
        <w:tc>
          <w:tcPr>
            <w:tcW w:w="60" w:type="dxa"/>
            <w:tcBorders/>
            <w:tcMar>
              <w:bottom w:w="0" w:type="dxa"/>
            </w:tcMar>
            <w:vAlign w:val="center"/>
          </w:tcPr>
          <w:p>
            <w:pPr>
              <w:pStyle w:val="TableContents"/>
              <w:bidi w:val="0"/>
              <w:spacing w:before="0" w:after="283"/>
              <w:jc w:val="left"/>
              <w:rPr/>
            </w:pPr>
            <w:r>
              <w:rPr/>
              <w:t> </w:t>
            </w:r>
          </w:p>
        </w:tc>
        <w:tc>
          <w:tcPr>
            <w:tcW w:w="905" w:type="dxa"/>
            <w:tcBorders>
              <w:bottom w:val="single" w:sz="8" w:space="0" w:color="000000"/>
            </w:tcBorders>
            <w:vAlign w:val="center"/>
          </w:tcPr>
          <w:p>
            <w:pPr>
              <w:pStyle w:val="TableContents"/>
              <w:bidi w:val="0"/>
              <w:spacing w:before="0" w:after="283"/>
              <w:jc w:val="center"/>
              <w:rPr>
                <w:b/>
                <w:sz w:val="20"/>
              </w:rPr>
            </w:pPr>
            <w:bookmarkStart w:id="14" w:name="xdx_908_edei--EntityAddressPostalZipCode"/>
            <w:bookmarkEnd w:id="14"/>
            <w:r>
              <w:rPr>
                <w:b/>
                <w:sz w:val="20"/>
              </w:rPr>
              <w:t>02109</w:t>
            </w:r>
          </w:p>
        </w:tc>
      </w:tr>
      <w:tr>
        <w:trPr/>
        <w:tc>
          <w:tcPr>
            <w:tcW w:w="3215" w:type="dxa"/>
            <w:tcBorders/>
            <w:tcMar>
              <w:bottom w:w="0" w:type="dxa"/>
            </w:tcMar>
            <w:vAlign w:val="center"/>
          </w:tcPr>
          <w:p>
            <w:pPr>
              <w:pStyle w:val="TableContents"/>
              <w:bidi w:val="0"/>
              <w:spacing w:before="0" w:after="283"/>
              <w:jc w:val="center"/>
              <w:rPr>
                <w:i/>
                <w:sz w:val="20"/>
              </w:rPr>
            </w:pPr>
            <w:r>
              <w:rPr>
                <w:i/>
                <w:sz w:val="20"/>
              </w:rPr>
              <w:t>(Address of principal executive offices)</w:t>
            </w:r>
          </w:p>
        </w:tc>
        <w:tc>
          <w:tcPr>
            <w:tcW w:w="60" w:type="dxa"/>
            <w:tcBorders/>
            <w:tcMar>
              <w:bottom w:w="0" w:type="dxa"/>
            </w:tcMar>
            <w:vAlign w:val="center"/>
          </w:tcPr>
          <w:p>
            <w:pPr>
              <w:pStyle w:val="TableContents"/>
              <w:bidi w:val="0"/>
              <w:spacing w:before="0" w:after="283"/>
              <w:jc w:val="left"/>
              <w:rPr/>
            </w:pPr>
            <w:r>
              <w:rPr/>
              <w:t> </w:t>
            </w:r>
          </w:p>
        </w:tc>
        <w:tc>
          <w:tcPr>
            <w:tcW w:w="905" w:type="dxa"/>
            <w:tcBorders/>
            <w:tcMar>
              <w:bottom w:w="0" w:type="dxa"/>
            </w:tcMar>
            <w:vAlign w:val="center"/>
          </w:tcPr>
          <w:p>
            <w:pPr>
              <w:pStyle w:val="TableContents"/>
              <w:bidi w:val="0"/>
              <w:spacing w:before="0" w:after="283"/>
              <w:jc w:val="center"/>
              <w:rPr>
                <w:i/>
                <w:sz w:val="20"/>
              </w:rPr>
            </w:pPr>
            <w:r>
              <w:rPr>
                <w:i/>
                <w:sz w:val="20"/>
              </w:rPr>
              <w:t>(Zip Code)</w:t>
            </w:r>
          </w:p>
        </w:tc>
      </w:tr>
    </w:tbl>
    <w:p>
      <w:pPr>
        <w:pStyle w:val="TextBody"/>
        <w:bidi w:val="0"/>
        <w:spacing w:before="0" w:after="0"/>
        <w:ind w:left="0" w:right="0" w:hanging="0"/>
        <w:jc w:val="left"/>
        <w:rPr>
          <w:caps w:val="false"/>
          <w:smallCaps w:val="false"/>
        </w:rPr>
      </w:pPr>
      <w:r>
        <w:rPr>
          <w:caps w:val="false"/>
          <w:smallCaps w:val="false"/>
        </w:rPr>
        <w:t> </w:t>
      </w:r>
    </w:p>
    <w:tbl>
      <w:tblPr>
        <w:tblW w:w="4415" w:type="dxa"/>
        <w:jc w:val="left"/>
        <w:tblInd w:w="0" w:type="dxa"/>
        <w:tblLayout w:type="fixed"/>
        <w:tblCellMar>
          <w:top w:w="0" w:type="dxa"/>
          <w:left w:w="0" w:type="dxa"/>
          <w:bottom w:w="0" w:type="dxa"/>
          <w:right w:w="0" w:type="dxa"/>
        </w:tblCellMar>
      </w:tblPr>
      <w:tblGrid>
        <w:gridCol w:w="4415"/>
      </w:tblGrid>
      <w:tr>
        <w:trPr/>
        <w:tc>
          <w:tcPr>
            <w:tcW w:w="4415" w:type="dxa"/>
            <w:tcBorders/>
            <w:vAlign w:val="center"/>
          </w:tcPr>
          <w:p>
            <w:pPr>
              <w:pStyle w:val="TableContents"/>
              <w:bidi w:val="0"/>
              <w:spacing w:before="0" w:after="283"/>
              <w:jc w:val="center"/>
              <w:rPr>
                <w:b/>
                <w:sz w:val="20"/>
              </w:rPr>
            </w:pPr>
            <w:r>
              <w:rPr>
                <w:b/>
                <w:sz w:val="20"/>
              </w:rPr>
              <w:t>(</w:t>
            </w:r>
            <w:bookmarkStart w:id="15" w:name="xdx_903_edei--CityAreaCode_c20260101__20"/>
            <w:bookmarkEnd w:id="15"/>
            <w:r>
              <w:rPr>
                <w:b/>
                <w:sz w:val="20"/>
              </w:rPr>
              <w:t xml:space="preserve">857) </w:t>
            </w:r>
            <w:bookmarkStart w:id="16" w:name="xdx_906_edei--LocalPhoneNumber_c20260101"/>
            <w:bookmarkEnd w:id="16"/>
            <w:r>
              <w:rPr>
                <w:b/>
                <w:sz w:val="20"/>
              </w:rPr>
              <w:t>367-9002</w:t>
            </w:r>
          </w:p>
        </w:tc>
      </w:tr>
      <w:tr>
        <w:trPr/>
        <w:tc>
          <w:tcPr>
            <w:tcW w:w="4415" w:type="dxa"/>
            <w:tcBorders/>
            <w:vAlign w:val="center"/>
          </w:tcPr>
          <w:p>
            <w:pPr>
              <w:pStyle w:val="TableContents"/>
              <w:bidi w:val="0"/>
              <w:spacing w:before="0" w:after="283"/>
              <w:jc w:val="center"/>
              <w:rPr>
                <w:i/>
                <w:sz w:val="20"/>
              </w:rPr>
            </w:pPr>
            <w:r>
              <w:rPr>
                <w:i/>
                <w:sz w:val="20"/>
              </w:rPr>
              <w:t>(Registrant’s telephone number, including area code)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 None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checkmark whether the registrant has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bookmarkStart w:id="17" w:name="xdx_90F_edei--EntityCurrentReportingStat"/>
      <w:bookmarkEnd w:id="17"/>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w:t>
      </w:r>
      <w:bookmarkStart w:id="18" w:name="xdx_909_edei--EntityInteractiveDataCurre"/>
      <w:bookmarkEnd w:id="18"/>
      <w:r>
        <w:rPr>
          <w:rFonts w:ascii="Times New Roman;Times;Serif" w:hAnsi="Times New Roman;Times;Serif"/>
          <w:b w:val="false"/>
          <w:i w:val="false"/>
          <w:caps w:val="false"/>
          <w:smallCaps w:val="false"/>
          <w:sz w:val="20"/>
        </w:rPr>
        <w:t>Yes ☒ No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center"/>
        <w:rPr>
          <w:caps w:val="false"/>
          <w:smallCaps w:val="false"/>
        </w:rPr>
      </w:pPr>
      <w:r>
        <w:rPr>
          <w:caps w:val="false"/>
          <w:smallCaps w:val="false"/>
        </w:rPr>
        <w:t> </w:t>
      </w:r>
    </w:p>
    <w:tbl>
      <w:tblPr>
        <w:tblW w:w="4595" w:type="dxa"/>
        <w:jc w:val="left"/>
        <w:tblInd w:w="0" w:type="dxa"/>
        <w:tblLayout w:type="fixed"/>
        <w:tblCellMar>
          <w:top w:w="0" w:type="dxa"/>
          <w:left w:w="0" w:type="dxa"/>
          <w:bottom w:w="0" w:type="dxa"/>
          <w:right w:w="0" w:type="dxa"/>
        </w:tblCellMar>
      </w:tblPr>
      <w:tblGrid>
        <w:gridCol w:w="75"/>
        <w:gridCol w:w="1820"/>
        <w:gridCol w:w="230"/>
        <w:gridCol w:w="2225"/>
        <w:gridCol w:w="245"/>
      </w:tblGrid>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sz w:val="20"/>
              </w:rPr>
            </w:pPr>
            <w:r>
              <w:rPr>
                <w:sz w:val="20"/>
              </w:rPr>
              <w:t>Large accelerated filer</w:t>
            </w:r>
          </w:p>
        </w:tc>
        <w:tc>
          <w:tcPr>
            <w:tcW w:w="230" w:type="dxa"/>
            <w:tcBorders/>
            <w:vAlign w:val="center"/>
          </w:tcPr>
          <w:p>
            <w:pPr>
              <w:pStyle w:val="TableContents"/>
              <w:bidi w:val="0"/>
              <w:spacing w:before="0" w:after="283"/>
              <w:jc w:val="both"/>
              <w:rPr/>
            </w:pPr>
            <w:r>
              <w:rPr/>
              <w:t>☐</w:t>
            </w:r>
          </w:p>
        </w:tc>
        <w:tc>
          <w:tcPr>
            <w:tcW w:w="2225" w:type="dxa"/>
            <w:tcBorders/>
            <w:vAlign w:val="center"/>
          </w:tcPr>
          <w:p>
            <w:pPr>
              <w:pStyle w:val="TableContents"/>
              <w:bidi w:val="0"/>
              <w:spacing w:before="0" w:after="283"/>
              <w:jc w:val="left"/>
              <w:rPr>
                <w:sz w:val="20"/>
              </w:rPr>
            </w:pPr>
            <w:r>
              <w:rPr>
                <w:sz w:val="20"/>
              </w:rPr>
              <w:t>Accelerated filer</w:t>
            </w:r>
          </w:p>
        </w:tc>
        <w:tc>
          <w:tcPr>
            <w:tcW w:w="245" w:type="dxa"/>
            <w:tcBorders/>
            <w:vAlign w:val="center"/>
          </w:tcPr>
          <w:p>
            <w:pPr>
              <w:pStyle w:val="TableContents"/>
              <w:bidi w:val="0"/>
              <w:spacing w:before="0" w:after="283"/>
              <w:jc w:val="both"/>
              <w:rPr/>
            </w:pPr>
            <w:r>
              <w:rPr/>
              <w:t>☐</w:t>
            </w:r>
          </w:p>
        </w:tc>
      </w:tr>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sz w:val="20"/>
              </w:rPr>
            </w:pPr>
            <w:bookmarkStart w:id="19" w:name="xdx_908_edei--EntityFilerCategory_c20260"/>
            <w:bookmarkEnd w:id="19"/>
            <w:r>
              <w:rPr>
                <w:sz w:val="20"/>
              </w:rPr>
              <w:t>Non-accelerated filer</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283"/>
              <w:jc w:val="left"/>
              <w:rPr>
                <w:sz w:val="20"/>
              </w:rPr>
            </w:pPr>
            <w:r>
              <w:rPr>
                <w:sz w:val="20"/>
              </w:rPr>
              <w:t>Smaller reporting company</w:t>
            </w:r>
          </w:p>
        </w:tc>
        <w:tc>
          <w:tcPr>
            <w:tcW w:w="245" w:type="dxa"/>
            <w:tcBorders/>
            <w:vAlign w:val="center"/>
          </w:tcPr>
          <w:p>
            <w:pPr>
              <w:pStyle w:val="TableContents"/>
              <w:bidi w:val="0"/>
              <w:spacing w:before="0" w:after="283"/>
              <w:jc w:val="left"/>
              <w:rPr/>
            </w:pPr>
            <w:bookmarkStart w:id="20" w:name="xdx_906_edei--EntitySmallBusiness_c20260"/>
            <w:bookmarkEnd w:id="20"/>
            <w:r>
              <w:rPr/>
              <w:t>☒</w:t>
            </w:r>
          </w:p>
        </w:tc>
      </w:tr>
      <w:tr>
        <w:trPr/>
        <w:tc>
          <w:tcPr>
            <w:tcW w:w="75"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left"/>
              <w:rPr>
                <w:sz w:val="20"/>
              </w:rPr>
            </w:pPr>
            <w:r>
              <w:rPr>
                <w:sz w:val="20"/>
              </w:rPr>
              <w:t>Emerging growth company</w:t>
            </w:r>
          </w:p>
        </w:tc>
        <w:tc>
          <w:tcPr>
            <w:tcW w:w="245" w:type="dxa"/>
            <w:tcBorders/>
            <w:vAlign w:val="center"/>
          </w:tcPr>
          <w:p>
            <w:pPr>
              <w:pStyle w:val="TableContents"/>
              <w:bidi w:val="0"/>
              <w:spacing w:before="0" w:after="283"/>
              <w:jc w:val="both"/>
              <w:rPr/>
            </w:pPr>
            <w:bookmarkStart w:id="21" w:name="xdx_903_edei--EntityEmergingGrowthCompan"/>
            <w:bookmarkEnd w:id="21"/>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 provided pursuant to Section 13(a) of the Exchange Act. </w:t>
      </w:r>
      <w:bookmarkStart w:id="22" w:name="xdx_901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 shell company (as defined in Rule 12b-2 of the Act). Yes ☐ No </w:t>
      </w:r>
      <w:bookmarkStart w:id="23" w:name="xdx_902_edei--EntityShellCompany_dbF_c20"/>
      <w:bookmarkEnd w:id="23"/>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August 3, 2026, the issuer had </w:t>
      </w:r>
      <w:bookmarkStart w:id="24" w:name="xdx_908_edei--EntityCommonStockSharesOut"/>
      <w:bookmarkEnd w:id="24"/>
      <w:r>
        <w:rPr>
          <w:rFonts w:ascii="Times New Roman;Times;Serif" w:hAnsi="Times New Roman;Times;Serif"/>
          <w:b w:val="false"/>
          <w:i w:val="false"/>
          <w:caps w:val="false"/>
          <w:smallCaps w:val="false"/>
          <w:sz w:val="20"/>
        </w:rPr>
        <w:t>187,328,921 shares of its common stock, $0.0001 par value per share, outstanding.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toc"/>
      <w:bookmarkEnd w:id="25"/>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4"/>
        <w:gridCol w:w="9175"/>
        <w:gridCol w:w="456"/>
      </w:tblGrid>
      <w:tr>
        <w:trPr/>
        <w:tc>
          <w:tcPr>
            <w:tcW w:w="574" w:type="dxa"/>
            <w:tcBorders/>
            <w:vAlign w:val="center"/>
          </w:tcPr>
          <w:p>
            <w:pPr>
              <w:pStyle w:val="TableContents"/>
              <w:bidi w:val="0"/>
              <w:spacing w:before="0" w:after="283"/>
              <w:jc w:val="left"/>
              <w:rPr/>
            </w:pPr>
            <w:r>
              <w:rPr/>
              <w:t> </w:t>
            </w:r>
          </w:p>
        </w:tc>
        <w:tc>
          <w:tcPr>
            <w:tcW w:w="9175" w:type="dxa"/>
            <w:tcBorders/>
            <w:vAlign w:val="center"/>
          </w:tcPr>
          <w:p>
            <w:pPr>
              <w:pStyle w:val="TableContents"/>
              <w:bidi w:val="0"/>
              <w:spacing w:before="0" w:after="283"/>
              <w:jc w:val="left"/>
              <w:rPr/>
            </w:pPr>
            <w:r>
              <w:rPr/>
              <w:t> </w:t>
            </w:r>
          </w:p>
        </w:tc>
        <w:tc>
          <w:tcPr>
            <w:tcW w:w="456"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Page</w:t>
            </w:r>
          </w:p>
        </w:tc>
      </w:tr>
      <w:tr>
        <w:trPr/>
        <w:tc>
          <w:tcPr>
            <w:tcW w:w="574" w:type="dxa"/>
            <w:tcBorders/>
            <w:shd w:fill="CCEEFF" w:val="clear"/>
            <w:vAlign w:val="center"/>
          </w:tcPr>
          <w:p>
            <w:pPr>
              <w:pStyle w:val="TableContents"/>
              <w:bidi w:val="0"/>
              <w:spacing w:before="0" w:after="283"/>
              <w:jc w:val="left"/>
              <w:rPr/>
            </w:pPr>
            <w:r>
              <w:rPr/>
              <w:t> </w:t>
            </w:r>
          </w:p>
        </w:tc>
        <w:tc>
          <w:tcPr>
            <w:tcW w:w="9175" w:type="dxa"/>
            <w:tcBorders/>
            <w:shd w:fill="CCEEFF" w:val="clear"/>
            <w:vAlign w:val="center"/>
          </w:tcPr>
          <w:p>
            <w:pPr>
              <w:pStyle w:val="TableContents"/>
              <w:bidi w:val="0"/>
              <w:spacing w:before="0" w:after="283"/>
              <w:jc w:val="center"/>
              <w:rPr/>
            </w:pPr>
            <w:hyperlink w:anchor="q2_001">
              <w:r>
                <w:rPr>
                  <w:rStyle w:val="InternetLink"/>
                  <w:b/>
                  <w:sz w:val="20"/>
                </w:rPr>
                <w:t>PART I - Financial Information</w:t>
              </w:r>
            </w:hyperlink>
          </w:p>
        </w:tc>
        <w:tc>
          <w:tcPr>
            <w:tcW w:w="456" w:type="dxa"/>
            <w:tcBorders/>
            <w:shd w:fill="CCEEFF" w:val="clear"/>
            <w:vAlign w:val="center"/>
          </w:tcPr>
          <w:p>
            <w:pPr>
              <w:pStyle w:val="TableContents"/>
              <w:bidi w:val="0"/>
              <w:spacing w:before="0" w:after="283"/>
              <w:jc w:val="center"/>
              <w:rPr/>
            </w:pPr>
            <w:r>
              <w:rPr/>
              <w:t> </w:t>
            </w:r>
          </w:p>
        </w:tc>
      </w:tr>
      <w:tr>
        <w:trPr/>
        <w:tc>
          <w:tcPr>
            <w:tcW w:w="574" w:type="dxa"/>
            <w:tcBorders/>
            <w:shd w:fill="FFFFFF" w:val="clear"/>
            <w:vAlign w:val="center"/>
          </w:tcPr>
          <w:p>
            <w:pPr>
              <w:pStyle w:val="TableContents"/>
              <w:bidi w:val="0"/>
              <w:spacing w:before="0" w:after="283"/>
              <w:jc w:val="left"/>
              <w:rPr/>
            </w:pPr>
            <w:r>
              <w:rPr/>
              <w:t> </w:t>
            </w:r>
          </w:p>
        </w:tc>
        <w:tc>
          <w:tcPr>
            <w:tcW w:w="9175"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jc w:val="center"/>
              <w:rPr/>
            </w:pPr>
            <w:r>
              <w:rPr/>
              <w:t> </w:t>
            </w:r>
          </w:p>
        </w:tc>
      </w:tr>
      <w:tr>
        <w:trPr/>
        <w:tc>
          <w:tcPr>
            <w:tcW w:w="574" w:type="dxa"/>
            <w:tcBorders/>
            <w:shd w:fill="CCEEFF" w:val="clear"/>
            <w:vAlign w:val="center"/>
          </w:tcPr>
          <w:p>
            <w:pPr>
              <w:pStyle w:val="TableContents"/>
              <w:bidi w:val="0"/>
              <w:spacing w:before="0" w:after="283"/>
              <w:jc w:val="left"/>
              <w:rPr>
                <w:sz w:val="20"/>
              </w:rPr>
            </w:pPr>
            <w:r>
              <w:rPr>
                <w:sz w:val="20"/>
              </w:rPr>
              <w:t>Item 1</w:t>
            </w:r>
          </w:p>
        </w:tc>
        <w:tc>
          <w:tcPr>
            <w:tcW w:w="9175" w:type="dxa"/>
            <w:tcBorders/>
            <w:shd w:fill="CCEEFF" w:val="clear"/>
            <w:vAlign w:val="center"/>
          </w:tcPr>
          <w:p>
            <w:pPr>
              <w:pStyle w:val="TableContents"/>
              <w:bidi w:val="0"/>
              <w:spacing w:before="0" w:after="283"/>
              <w:jc w:val="left"/>
              <w:rPr/>
            </w:pPr>
            <w:hyperlink w:anchor="q2_002">
              <w:r>
                <w:rPr>
                  <w:rStyle w:val="InternetLink"/>
                  <w:sz w:val="20"/>
                </w:rPr>
                <w:t>Financial Statements</w:t>
              </w:r>
            </w:hyperlink>
          </w:p>
        </w:tc>
        <w:tc>
          <w:tcPr>
            <w:tcW w:w="456" w:type="dxa"/>
            <w:tcBorders/>
            <w:shd w:fill="CCEEFF" w:val="clear"/>
            <w:vAlign w:val="center"/>
          </w:tcPr>
          <w:p>
            <w:pPr>
              <w:pStyle w:val="TableContents"/>
              <w:bidi w:val="0"/>
              <w:spacing w:before="0" w:after="283"/>
              <w:jc w:val="center"/>
              <w:rPr/>
            </w:pPr>
            <w:r>
              <w:rPr/>
              <w:t>3</w:t>
            </w:r>
          </w:p>
        </w:tc>
      </w:tr>
      <w:tr>
        <w:trPr/>
        <w:tc>
          <w:tcPr>
            <w:tcW w:w="574" w:type="dxa"/>
            <w:tcBorders/>
            <w:shd w:fill="FFFFFF" w:val="clear"/>
            <w:vAlign w:val="center"/>
          </w:tcPr>
          <w:p>
            <w:pPr>
              <w:pStyle w:val="TableContents"/>
              <w:bidi w:val="0"/>
              <w:spacing w:before="0" w:after="283"/>
              <w:jc w:val="left"/>
              <w:rPr/>
            </w:pPr>
            <w:r>
              <w:rPr/>
              <w:t> </w:t>
            </w:r>
          </w:p>
        </w:tc>
        <w:tc>
          <w:tcPr>
            <w:tcW w:w="9175" w:type="dxa"/>
            <w:tcBorders/>
            <w:shd w:fill="FFFFFF" w:val="clear"/>
            <w:vAlign w:val="center"/>
          </w:tcPr>
          <w:p>
            <w:pPr>
              <w:pStyle w:val="TableContents"/>
              <w:bidi w:val="0"/>
              <w:spacing w:before="0" w:after="283"/>
              <w:jc w:val="both"/>
              <w:rPr/>
            </w:pPr>
            <w:hyperlink w:anchor="q2_003">
              <w:r>
                <w:rPr>
                  <w:rStyle w:val="InternetLink"/>
                  <w:sz w:val="20"/>
                </w:rPr>
                <w:t>Condensed Consolidated Balance Sheets – As of June 30, 2026 (Unaudited) and December 31, 2025</w:t>
              </w:r>
            </w:hyperlink>
          </w:p>
        </w:tc>
        <w:tc>
          <w:tcPr>
            <w:tcW w:w="456" w:type="dxa"/>
            <w:tcBorders/>
            <w:shd w:fill="FFFFFF" w:val="clear"/>
            <w:vAlign w:val="center"/>
          </w:tcPr>
          <w:p>
            <w:pPr>
              <w:pStyle w:val="TableContents"/>
              <w:bidi w:val="0"/>
              <w:spacing w:before="0" w:after="283"/>
              <w:jc w:val="center"/>
              <w:rPr>
                <w:sz w:val="20"/>
              </w:rPr>
            </w:pPr>
            <w:r>
              <w:rPr>
                <w:sz w:val="20"/>
              </w:rPr>
              <w:t>3</w:t>
            </w:r>
          </w:p>
        </w:tc>
      </w:tr>
      <w:tr>
        <w:trPr/>
        <w:tc>
          <w:tcPr>
            <w:tcW w:w="574" w:type="dxa"/>
            <w:tcBorders/>
            <w:shd w:fill="CCEEFF" w:val="clear"/>
            <w:vAlign w:val="center"/>
          </w:tcPr>
          <w:p>
            <w:pPr>
              <w:pStyle w:val="TableContents"/>
              <w:bidi w:val="0"/>
              <w:spacing w:before="0" w:after="283"/>
              <w:jc w:val="left"/>
              <w:rPr/>
            </w:pPr>
            <w:r>
              <w:rPr/>
              <w:t> </w:t>
            </w:r>
          </w:p>
        </w:tc>
        <w:tc>
          <w:tcPr>
            <w:tcW w:w="9175" w:type="dxa"/>
            <w:tcBorders/>
            <w:shd w:fill="CCEEFF" w:val="clear"/>
            <w:vAlign w:val="center"/>
          </w:tcPr>
          <w:p>
            <w:pPr>
              <w:pStyle w:val="TableContents"/>
              <w:bidi w:val="0"/>
              <w:spacing w:before="0" w:after="283"/>
              <w:jc w:val="both"/>
              <w:rPr/>
            </w:pPr>
            <w:hyperlink w:anchor="q2_004">
              <w:r>
                <w:rPr>
                  <w:rStyle w:val="InternetLink"/>
                  <w:sz w:val="20"/>
                </w:rPr>
                <w:t>Condensed Consolidated Statements of Operations and Comprehensive Loss (Unaudited) – For the Three and Six Months Ended June 30, 2026 and 2025</w:t>
              </w:r>
            </w:hyperlink>
          </w:p>
        </w:tc>
        <w:tc>
          <w:tcPr>
            <w:tcW w:w="456" w:type="dxa"/>
            <w:tcBorders/>
            <w:shd w:fill="CCEEFF" w:val="clear"/>
            <w:vAlign w:val="center"/>
          </w:tcPr>
          <w:p>
            <w:pPr>
              <w:pStyle w:val="TableContents"/>
              <w:bidi w:val="0"/>
              <w:spacing w:before="0" w:after="283"/>
              <w:jc w:val="center"/>
              <w:rPr>
                <w:sz w:val="20"/>
              </w:rPr>
            </w:pPr>
            <w:r>
              <w:rPr>
                <w:sz w:val="20"/>
              </w:rPr>
              <w:t>4</w:t>
            </w:r>
          </w:p>
        </w:tc>
      </w:tr>
      <w:tr>
        <w:trPr/>
        <w:tc>
          <w:tcPr>
            <w:tcW w:w="574" w:type="dxa"/>
            <w:tcBorders/>
            <w:shd w:fill="FFFFFF" w:val="clear"/>
            <w:vAlign w:val="center"/>
          </w:tcPr>
          <w:p>
            <w:pPr>
              <w:pStyle w:val="TableContents"/>
              <w:bidi w:val="0"/>
              <w:spacing w:before="0" w:after="283"/>
              <w:jc w:val="left"/>
              <w:rPr/>
            </w:pPr>
            <w:r>
              <w:rPr/>
              <w:t> </w:t>
            </w:r>
          </w:p>
        </w:tc>
        <w:tc>
          <w:tcPr>
            <w:tcW w:w="9175" w:type="dxa"/>
            <w:tcBorders/>
            <w:shd w:fill="FFFFFF" w:val="clear"/>
            <w:vAlign w:val="center"/>
          </w:tcPr>
          <w:p>
            <w:pPr>
              <w:pStyle w:val="TableContents"/>
              <w:bidi w:val="0"/>
              <w:spacing w:before="0" w:after="283"/>
              <w:jc w:val="both"/>
              <w:rPr/>
            </w:pPr>
            <w:hyperlink w:anchor="q2_005">
              <w:r>
                <w:rPr>
                  <w:rStyle w:val="InternetLink"/>
                  <w:sz w:val="20"/>
                </w:rPr>
                <w:t>Condensed Consolidated Statements of Convertible Preferred Stock and Stockholders’ Deficit (Unaudited) – For the Three and Six Months Ended June 30, 2026 and 2025</w:t>
              </w:r>
            </w:hyperlink>
          </w:p>
        </w:tc>
        <w:tc>
          <w:tcPr>
            <w:tcW w:w="456" w:type="dxa"/>
            <w:tcBorders/>
            <w:shd w:fill="FFFFFF" w:val="clear"/>
            <w:vAlign w:val="center"/>
          </w:tcPr>
          <w:p>
            <w:pPr>
              <w:pStyle w:val="TableContents"/>
              <w:bidi w:val="0"/>
              <w:spacing w:before="0" w:after="283"/>
              <w:jc w:val="center"/>
              <w:rPr/>
            </w:pPr>
            <w:r>
              <w:rPr/>
              <w:t>5</w:t>
            </w:r>
          </w:p>
        </w:tc>
      </w:tr>
      <w:tr>
        <w:trPr/>
        <w:tc>
          <w:tcPr>
            <w:tcW w:w="574" w:type="dxa"/>
            <w:tcBorders/>
            <w:shd w:fill="CCEEFF" w:val="clear"/>
            <w:vAlign w:val="center"/>
          </w:tcPr>
          <w:p>
            <w:pPr>
              <w:pStyle w:val="TableContents"/>
              <w:bidi w:val="0"/>
              <w:spacing w:before="0" w:after="283"/>
              <w:jc w:val="left"/>
              <w:rPr/>
            </w:pPr>
            <w:r>
              <w:rPr/>
              <w:t> </w:t>
            </w:r>
          </w:p>
        </w:tc>
        <w:tc>
          <w:tcPr>
            <w:tcW w:w="9175" w:type="dxa"/>
            <w:tcBorders/>
            <w:shd w:fill="CCEEFF" w:val="clear"/>
            <w:vAlign w:val="center"/>
          </w:tcPr>
          <w:p>
            <w:pPr>
              <w:pStyle w:val="TableContents"/>
              <w:bidi w:val="0"/>
              <w:spacing w:before="0" w:after="283"/>
              <w:jc w:val="both"/>
              <w:rPr/>
            </w:pPr>
            <w:hyperlink w:anchor="q2_006">
              <w:r>
                <w:rPr>
                  <w:rStyle w:val="InternetLink"/>
                  <w:sz w:val="20"/>
                </w:rPr>
                <w:t>Condensed Consolidated Statements of Cash Flows (Unaudited) – For the Six Months Ended June 30, 2026 and 2025</w:t>
              </w:r>
            </w:hyperlink>
          </w:p>
        </w:tc>
        <w:tc>
          <w:tcPr>
            <w:tcW w:w="456" w:type="dxa"/>
            <w:tcBorders/>
            <w:shd w:fill="CCEEFF" w:val="clear"/>
            <w:vAlign w:val="center"/>
          </w:tcPr>
          <w:p>
            <w:pPr>
              <w:pStyle w:val="TableContents"/>
              <w:bidi w:val="0"/>
              <w:spacing w:before="0" w:after="283"/>
              <w:jc w:val="center"/>
              <w:rPr/>
            </w:pPr>
            <w:r>
              <w:rPr/>
              <w:t>7</w:t>
            </w:r>
          </w:p>
        </w:tc>
      </w:tr>
      <w:tr>
        <w:trPr/>
        <w:tc>
          <w:tcPr>
            <w:tcW w:w="574" w:type="dxa"/>
            <w:tcBorders/>
            <w:shd w:fill="FFFFFF" w:val="clear"/>
            <w:vAlign w:val="center"/>
          </w:tcPr>
          <w:p>
            <w:pPr>
              <w:pStyle w:val="TableContents"/>
              <w:bidi w:val="0"/>
              <w:spacing w:before="0" w:after="283"/>
              <w:jc w:val="left"/>
              <w:rPr/>
            </w:pPr>
            <w:r>
              <w:rPr/>
              <w:t> </w:t>
            </w:r>
          </w:p>
        </w:tc>
        <w:tc>
          <w:tcPr>
            <w:tcW w:w="9175" w:type="dxa"/>
            <w:tcBorders/>
            <w:shd w:fill="FFFFFF" w:val="clear"/>
            <w:vAlign w:val="center"/>
          </w:tcPr>
          <w:p>
            <w:pPr>
              <w:pStyle w:val="TableContents"/>
              <w:bidi w:val="0"/>
              <w:spacing w:before="0" w:after="283"/>
              <w:jc w:val="both"/>
              <w:rPr/>
            </w:pPr>
            <w:hyperlink w:anchor="q2_007">
              <w:r>
                <w:rPr>
                  <w:rStyle w:val="InternetLink"/>
                  <w:sz w:val="20"/>
                </w:rPr>
                <w:t>Notes to Condensed Consolidated Financial Statements (Unaudited)</w:t>
              </w:r>
            </w:hyperlink>
          </w:p>
        </w:tc>
        <w:tc>
          <w:tcPr>
            <w:tcW w:w="456" w:type="dxa"/>
            <w:tcBorders/>
            <w:shd w:fill="FFFFFF" w:val="clear"/>
            <w:vAlign w:val="center"/>
          </w:tcPr>
          <w:p>
            <w:pPr>
              <w:pStyle w:val="TableContents"/>
              <w:bidi w:val="0"/>
              <w:spacing w:before="0" w:after="283"/>
              <w:jc w:val="center"/>
              <w:rPr>
                <w:sz w:val="20"/>
              </w:rPr>
            </w:pPr>
            <w:r>
              <w:rPr>
                <w:sz w:val="20"/>
              </w:rPr>
              <w:t>8</w:t>
            </w:r>
          </w:p>
        </w:tc>
      </w:tr>
      <w:tr>
        <w:trPr/>
        <w:tc>
          <w:tcPr>
            <w:tcW w:w="574" w:type="dxa"/>
            <w:tcBorders/>
            <w:shd w:fill="CCEEFF" w:val="clear"/>
            <w:vAlign w:val="center"/>
          </w:tcPr>
          <w:p>
            <w:pPr>
              <w:pStyle w:val="TableContents"/>
              <w:bidi w:val="0"/>
              <w:spacing w:before="0" w:after="283"/>
              <w:jc w:val="left"/>
              <w:rPr/>
            </w:pPr>
            <w:r>
              <w:rPr/>
              <w:t> </w:t>
            </w:r>
          </w:p>
        </w:tc>
        <w:tc>
          <w:tcPr>
            <w:tcW w:w="9175" w:type="dxa"/>
            <w:tcBorders/>
            <w:shd w:fill="CCEEFF" w:val="clear"/>
            <w:vAlign w:val="center"/>
          </w:tcPr>
          <w:p>
            <w:pPr>
              <w:pStyle w:val="TableContents"/>
              <w:bidi w:val="0"/>
              <w:spacing w:before="0" w:after="283"/>
              <w:jc w:val="both"/>
              <w:rPr/>
            </w:pPr>
            <w:r>
              <w:rPr/>
              <w:t> </w:t>
            </w:r>
          </w:p>
        </w:tc>
        <w:tc>
          <w:tcPr>
            <w:tcW w:w="456" w:type="dxa"/>
            <w:tcBorders/>
            <w:shd w:fill="CCEEFF" w:val="clear"/>
            <w:vAlign w:val="center"/>
          </w:tcPr>
          <w:p>
            <w:pPr>
              <w:pStyle w:val="TableContents"/>
              <w:bidi w:val="0"/>
              <w:spacing w:before="0" w:after="283"/>
              <w:jc w:val="center"/>
              <w:rPr/>
            </w:pPr>
            <w:r>
              <w:rPr/>
              <w:t> </w:t>
            </w:r>
          </w:p>
        </w:tc>
      </w:tr>
      <w:tr>
        <w:trPr/>
        <w:tc>
          <w:tcPr>
            <w:tcW w:w="574" w:type="dxa"/>
            <w:tcBorders/>
            <w:shd w:fill="FFFFFF" w:val="clear"/>
            <w:vAlign w:val="center"/>
          </w:tcPr>
          <w:p>
            <w:pPr>
              <w:pStyle w:val="TableContents"/>
              <w:bidi w:val="0"/>
              <w:spacing w:before="0" w:after="283"/>
              <w:jc w:val="left"/>
              <w:rPr>
                <w:sz w:val="20"/>
              </w:rPr>
            </w:pPr>
            <w:r>
              <w:rPr>
                <w:sz w:val="20"/>
              </w:rPr>
              <w:t>Item 2</w:t>
            </w:r>
          </w:p>
        </w:tc>
        <w:tc>
          <w:tcPr>
            <w:tcW w:w="9175" w:type="dxa"/>
            <w:tcBorders/>
            <w:shd w:fill="FFFFFF" w:val="clear"/>
            <w:vAlign w:val="center"/>
          </w:tcPr>
          <w:p>
            <w:pPr>
              <w:pStyle w:val="TableContents"/>
              <w:bidi w:val="0"/>
              <w:spacing w:before="0" w:after="283"/>
              <w:jc w:val="both"/>
              <w:rPr/>
            </w:pPr>
            <w:hyperlink w:anchor="q2_008">
              <w:r>
                <w:rPr>
                  <w:rStyle w:val="InternetLink"/>
                  <w:sz w:val="20"/>
                </w:rPr>
                <w:t>Management’s Discussion and Analysis of Financial Condition and Results of Operations</w:t>
              </w:r>
            </w:hyperlink>
          </w:p>
        </w:tc>
        <w:tc>
          <w:tcPr>
            <w:tcW w:w="456" w:type="dxa"/>
            <w:tcBorders/>
            <w:shd w:fill="FFFFFF" w:val="clear"/>
            <w:vAlign w:val="center"/>
          </w:tcPr>
          <w:p>
            <w:pPr>
              <w:pStyle w:val="TableContents"/>
              <w:bidi w:val="0"/>
              <w:spacing w:before="0" w:after="283"/>
              <w:jc w:val="center"/>
              <w:rPr>
                <w:sz w:val="20"/>
              </w:rPr>
            </w:pPr>
            <w:r>
              <w:rPr>
                <w:sz w:val="20"/>
              </w:rPr>
              <w:t>22</w:t>
            </w:r>
          </w:p>
        </w:tc>
      </w:tr>
      <w:tr>
        <w:trPr/>
        <w:tc>
          <w:tcPr>
            <w:tcW w:w="574" w:type="dxa"/>
            <w:tcBorders/>
            <w:shd w:fill="CCEEFF" w:val="clear"/>
            <w:vAlign w:val="center"/>
          </w:tcPr>
          <w:p>
            <w:pPr>
              <w:pStyle w:val="TableContents"/>
              <w:bidi w:val="0"/>
              <w:spacing w:before="0" w:after="283"/>
              <w:jc w:val="left"/>
              <w:rPr>
                <w:sz w:val="20"/>
              </w:rPr>
            </w:pPr>
            <w:r>
              <w:rPr>
                <w:sz w:val="20"/>
              </w:rPr>
              <w:t>Item 3</w:t>
            </w:r>
          </w:p>
        </w:tc>
        <w:tc>
          <w:tcPr>
            <w:tcW w:w="9175" w:type="dxa"/>
            <w:tcBorders/>
            <w:shd w:fill="CCEEFF" w:val="clear"/>
            <w:vAlign w:val="center"/>
          </w:tcPr>
          <w:p>
            <w:pPr>
              <w:pStyle w:val="TableContents"/>
              <w:bidi w:val="0"/>
              <w:spacing w:before="0" w:after="283"/>
              <w:jc w:val="both"/>
              <w:rPr/>
            </w:pPr>
            <w:hyperlink w:anchor="q2_009">
              <w:r>
                <w:rPr>
                  <w:rStyle w:val="InternetLink"/>
                  <w:sz w:val="20"/>
                </w:rPr>
                <w:t>Quantitative and Qualitative Disclosures About Market Risk</w:t>
              </w:r>
            </w:hyperlink>
          </w:p>
        </w:tc>
        <w:tc>
          <w:tcPr>
            <w:tcW w:w="456" w:type="dxa"/>
            <w:tcBorders/>
            <w:shd w:fill="CCEEFF" w:val="clear"/>
            <w:vAlign w:val="center"/>
          </w:tcPr>
          <w:p>
            <w:pPr>
              <w:pStyle w:val="TableContents"/>
              <w:bidi w:val="0"/>
              <w:spacing w:before="0" w:after="283"/>
              <w:jc w:val="center"/>
              <w:rPr>
                <w:sz w:val="20"/>
              </w:rPr>
            </w:pPr>
            <w:r>
              <w:rPr>
                <w:sz w:val="20"/>
              </w:rPr>
              <w:t>30</w:t>
            </w:r>
          </w:p>
        </w:tc>
      </w:tr>
      <w:tr>
        <w:trPr/>
        <w:tc>
          <w:tcPr>
            <w:tcW w:w="574" w:type="dxa"/>
            <w:tcBorders/>
            <w:shd w:fill="FFFFFF" w:val="clear"/>
            <w:vAlign w:val="center"/>
          </w:tcPr>
          <w:p>
            <w:pPr>
              <w:pStyle w:val="TableContents"/>
              <w:bidi w:val="0"/>
              <w:spacing w:before="0" w:after="283"/>
              <w:jc w:val="left"/>
              <w:rPr>
                <w:sz w:val="20"/>
              </w:rPr>
            </w:pPr>
            <w:r>
              <w:rPr>
                <w:sz w:val="20"/>
              </w:rPr>
              <w:t>Item 4</w:t>
            </w:r>
          </w:p>
        </w:tc>
        <w:tc>
          <w:tcPr>
            <w:tcW w:w="9175" w:type="dxa"/>
            <w:tcBorders/>
            <w:shd w:fill="FFFFFF" w:val="clear"/>
            <w:vAlign w:val="center"/>
          </w:tcPr>
          <w:p>
            <w:pPr>
              <w:pStyle w:val="TableContents"/>
              <w:bidi w:val="0"/>
              <w:spacing w:before="0" w:after="283"/>
              <w:jc w:val="both"/>
              <w:rPr/>
            </w:pPr>
            <w:hyperlink w:anchor="q2_010">
              <w:r>
                <w:rPr>
                  <w:rStyle w:val="InternetLink"/>
                  <w:sz w:val="20"/>
                </w:rPr>
                <w:t>Controls and Procedures</w:t>
              </w:r>
            </w:hyperlink>
          </w:p>
        </w:tc>
        <w:tc>
          <w:tcPr>
            <w:tcW w:w="456" w:type="dxa"/>
            <w:tcBorders/>
            <w:shd w:fill="FFFFFF" w:val="clear"/>
            <w:vAlign w:val="center"/>
          </w:tcPr>
          <w:p>
            <w:pPr>
              <w:pStyle w:val="TableContents"/>
              <w:bidi w:val="0"/>
              <w:spacing w:before="0" w:after="283"/>
              <w:jc w:val="center"/>
              <w:rPr>
                <w:sz w:val="20"/>
              </w:rPr>
            </w:pPr>
            <w:r>
              <w:rPr>
                <w:sz w:val="20"/>
              </w:rPr>
              <w:t>30</w:t>
            </w:r>
          </w:p>
        </w:tc>
      </w:tr>
      <w:tr>
        <w:trPr/>
        <w:tc>
          <w:tcPr>
            <w:tcW w:w="574" w:type="dxa"/>
            <w:tcBorders/>
            <w:shd w:fill="CCEEFF" w:val="clear"/>
            <w:vAlign w:val="center"/>
          </w:tcPr>
          <w:p>
            <w:pPr>
              <w:pStyle w:val="TableContents"/>
              <w:bidi w:val="0"/>
              <w:spacing w:before="0" w:after="283"/>
              <w:jc w:val="left"/>
              <w:rPr/>
            </w:pPr>
            <w:r>
              <w:rPr/>
              <w:t> </w:t>
            </w:r>
          </w:p>
        </w:tc>
        <w:tc>
          <w:tcPr>
            <w:tcW w:w="9175"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center"/>
              <w:rPr/>
            </w:pPr>
            <w:r>
              <w:rPr/>
              <w:t> </w:t>
            </w:r>
          </w:p>
        </w:tc>
      </w:tr>
      <w:tr>
        <w:trPr/>
        <w:tc>
          <w:tcPr>
            <w:tcW w:w="574" w:type="dxa"/>
            <w:tcBorders/>
            <w:shd w:fill="FFFFFF" w:val="clear"/>
            <w:vAlign w:val="center"/>
          </w:tcPr>
          <w:p>
            <w:pPr>
              <w:pStyle w:val="TableContents"/>
              <w:bidi w:val="0"/>
              <w:spacing w:before="0" w:after="283"/>
              <w:jc w:val="left"/>
              <w:rPr/>
            </w:pPr>
            <w:r>
              <w:rPr/>
              <w:t> </w:t>
            </w:r>
          </w:p>
        </w:tc>
        <w:tc>
          <w:tcPr>
            <w:tcW w:w="9175" w:type="dxa"/>
            <w:tcBorders/>
            <w:shd w:fill="FFFFFF" w:val="clear"/>
            <w:vAlign w:val="center"/>
          </w:tcPr>
          <w:p>
            <w:pPr>
              <w:pStyle w:val="TableContents"/>
              <w:bidi w:val="0"/>
              <w:spacing w:before="0" w:after="283"/>
              <w:jc w:val="center"/>
              <w:rPr/>
            </w:pPr>
            <w:hyperlink w:anchor="q2_011">
              <w:r>
                <w:rPr>
                  <w:rStyle w:val="InternetLink"/>
                  <w:b/>
                  <w:sz w:val="20"/>
                </w:rPr>
                <w:t>Part II - Other Information</w:t>
              </w:r>
            </w:hyperlink>
          </w:p>
        </w:tc>
        <w:tc>
          <w:tcPr>
            <w:tcW w:w="456" w:type="dxa"/>
            <w:tcBorders/>
            <w:shd w:fill="FFFFFF" w:val="clear"/>
            <w:vAlign w:val="center"/>
          </w:tcPr>
          <w:p>
            <w:pPr>
              <w:pStyle w:val="TableContents"/>
              <w:bidi w:val="0"/>
              <w:spacing w:before="0" w:after="283"/>
              <w:jc w:val="center"/>
              <w:rPr/>
            </w:pPr>
            <w:r>
              <w:rPr/>
              <w:t> </w:t>
            </w:r>
          </w:p>
        </w:tc>
      </w:tr>
      <w:tr>
        <w:trPr/>
        <w:tc>
          <w:tcPr>
            <w:tcW w:w="574" w:type="dxa"/>
            <w:tcBorders/>
            <w:shd w:fill="CCEEFF" w:val="clear"/>
            <w:vAlign w:val="center"/>
          </w:tcPr>
          <w:p>
            <w:pPr>
              <w:pStyle w:val="TableContents"/>
              <w:bidi w:val="0"/>
              <w:spacing w:before="0" w:after="283"/>
              <w:jc w:val="left"/>
              <w:rPr/>
            </w:pPr>
            <w:r>
              <w:rPr/>
              <w:t> </w:t>
            </w:r>
          </w:p>
        </w:tc>
        <w:tc>
          <w:tcPr>
            <w:tcW w:w="9175"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center"/>
              <w:rPr/>
            </w:pPr>
            <w:r>
              <w:rPr/>
              <w:t> </w:t>
            </w:r>
          </w:p>
        </w:tc>
      </w:tr>
      <w:tr>
        <w:trPr/>
        <w:tc>
          <w:tcPr>
            <w:tcW w:w="574" w:type="dxa"/>
            <w:tcBorders/>
            <w:shd w:fill="FFFFFF" w:val="clear"/>
            <w:vAlign w:val="center"/>
          </w:tcPr>
          <w:p>
            <w:pPr>
              <w:pStyle w:val="TableContents"/>
              <w:bidi w:val="0"/>
              <w:spacing w:before="0" w:after="283"/>
              <w:jc w:val="left"/>
              <w:rPr>
                <w:sz w:val="20"/>
              </w:rPr>
            </w:pPr>
            <w:r>
              <w:rPr>
                <w:sz w:val="20"/>
              </w:rPr>
              <w:t>Item 1</w:t>
            </w:r>
          </w:p>
        </w:tc>
        <w:tc>
          <w:tcPr>
            <w:tcW w:w="9175" w:type="dxa"/>
            <w:tcBorders/>
            <w:shd w:fill="FFFFFF" w:val="clear"/>
            <w:vAlign w:val="center"/>
          </w:tcPr>
          <w:p>
            <w:pPr>
              <w:pStyle w:val="TableContents"/>
              <w:bidi w:val="0"/>
              <w:spacing w:before="0" w:after="283"/>
              <w:jc w:val="left"/>
              <w:rPr/>
            </w:pPr>
            <w:hyperlink w:anchor="q2_012">
              <w:r>
                <w:rPr>
                  <w:rStyle w:val="InternetLink"/>
                  <w:sz w:val="20"/>
                </w:rPr>
                <w:t>Legal Proceedings</w:t>
              </w:r>
            </w:hyperlink>
          </w:p>
        </w:tc>
        <w:tc>
          <w:tcPr>
            <w:tcW w:w="456" w:type="dxa"/>
            <w:tcBorders/>
            <w:shd w:fill="FFFFFF" w:val="clear"/>
            <w:vAlign w:val="center"/>
          </w:tcPr>
          <w:p>
            <w:pPr>
              <w:pStyle w:val="TableContents"/>
              <w:bidi w:val="0"/>
              <w:spacing w:before="0" w:after="283"/>
              <w:jc w:val="center"/>
              <w:rPr>
                <w:sz w:val="20"/>
              </w:rPr>
            </w:pPr>
            <w:r>
              <w:rPr>
                <w:sz w:val="20"/>
              </w:rPr>
              <w:t>32</w:t>
            </w:r>
          </w:p>
        </w:tc>
      </w:tr>
      <w:tr>
        <w:trPr/>
        <w:tc>
          <w:tcPr>
            <w:tcW w:w="574" w:type="dxa"/>
            <w:tcBorders/>
            <w:shd w:fill="CCEEFF" w:val="clear"/>
            <w:vAlign w:val="center"/>
          </w:tcPr>
          <w:p>
            <w:pPr>
              <w:pStyle w:val="TableContents"/>
              <w:bidi w:val="0"/>
              <w:spacing w:before="0" w:after="283"/>
              <w:jc w:val="left"/>
              <w:rPr>
                <w:sz w:val="20"/>
              </w:rPr>
            </w:pPr>
            <w:r>
              <w:rPr>
                <w:sz w:val="20"/>
              </w:rPr>
              <w:t>Item 1A</w:t>
            </w:r>
          </w:p>
        </w:tc>
        <w:tc>
          <w:tcPr>
            <w:tcW w:w="9175" w:type="dxa"/>
            <w:tcBorders/>
            <w:shd w:fill="CCEEFF" w:val="clear"/>
            <w:vAlign w:val="center"/>
          </w:tcPr>
          <w:p>
            <w:pPr>
              <w:pStyle w:val="TableContents"/>
              <w:bidi w:val="0"/>
              <w:spacing w:before="0" w:after="283"/>
              <w:jc w:val="left"/>
              <w:rPr/>
            </w:pPr>
            <w:hyperlink w:anchor="q2_013">
              <w:r>
                <w:rPr>
                  <w:rStyle w:val="InternetLink"/>
                  <w:sz w:val="20"/>
                </w:rPr>
                <w:t>Risk Factors</w:t>
              </w:r>
            </w:hyperlink>
          </w:p>
        </w:tc>
        <w:tc>
          <w:tcPr>
            <w:tcW w:w="456" w:type="dxa"/>
            <w:tcBorders/>
            <w:shd w:fill="CCEEFF" w:val="clear"/>
            <w:vAlign w:val="center"/>
          </w:tcPr>
          <w:p>
            <w:pPr>
              <w:pStyle w:val="TableContents"/>
              <w:bidi w:val="0"/>
              <w:spacing w:before="0" w:after="283"/>
              <w:jc w:val="center"/>
              <w:rPr>
                <w:sz w:val="20"/>
              </w:rPr>
            </w:pPr>
            <w:r>
              <w:rPr>
                <w:sz w:val="20"/>
              </w:rPr>
              <w:t>32</w:t>
            </w:r>
          </w:p>
        </w:tc>
      </w:tr>
      <w:tr>
        <w:trPr/>
        <w:tc>
          <w:tcPr>
            <w:tcW w:w="574" w:type="dxa"/>
            <w:tcBorders/>
            <w:shd w:fill="FFFFFF" w:val="clear"/>
            <w:vAlign w:val="center"/>
          </w:tcPr>
          <w:p>
            <w:pPr>
              <w:pStyle w:val="TableContents"/>
              <w:bidi w:val="0"/>
              <w:spacing w:before="0" w:after="283"/>
              <w:jc w:val="left"/>
              <w:rPr>
                <w:sz w:val="20"/>
              </w:rPr>
            </w:pPr>
            <w:r>
              <w:rPr>
                <w:sz w:val="20"/>
              </w:rPr>
              <w:t>Item 2</w:t>
            </w:r>
          </w:p>
        </w:tc>
        <w:tc>
          <w:tcPr>
            <w:tcW w:w="9175" w:type="dxa"/>
            <w:tcBorders/>
            <w:shd w:fill="FFFFFF" w:val="clear"/>
            <w:vAlign w:val="center"/>
          </w:tcPr>
          <w:p>
            <w:pPr>
              <w:pStyle w:val="TableContents"/>
              <w:bidi w:val="0"/>
              <w:spacing w:before="0" w:after="283"/>
              <w:jc w:val="left"/>
              <w:rPr/>
            </w:pPr>
            <w:hyperlink w:anchor="q2_014">
              <w:r>
                <w:rPr>
                  <w:rStyle w:val="InternetLink"/>
                  <w:sz w:val="20"/>
                </w:rPr>
                <w:t>Unregistered Sales of Equity Securities and Use of Proceeds</w:t>
              </w:r>
            </w:hyperlink>
          </w:p>
        </w:tc>
        <w:tc>
          <w:tcPr>
            <w:tcW w:w="456" w:type="dxa"/>
            <w:tcBorders/>
            <w:shd w:fill="FFFFFF" w:val="clear"/>
            <w:vAlign w:val="center"/>
          </w:tcPr>
          <w:p>
            <w:pPr>
              <w:pStyle w:val="TableContents"/>
              <w:bidi w:val="0"/>
              <w:spacing w:before="0" w:after="283"/>
              <w:jc w:val="center"/>
              <w:rPr>
                <w:sz w:val="20"/>
              </w:rPr>
            </w:pPr>
            <w:r>
              <w:rPr>
                <w:sz w:val="20"/>
              </w:rPr>
              <w:t>32</w:t>
            </w:r>
          </w:p>
        </w:tc>
      </w:tr>
      <w:tr>
        <w:trPr/>
        <w:tc>
          <w:tcPr>
            <w:tcW w:w="574" w:type="dxa"/>
            <w:tcBorders/>
            <w:shd w:fill="CCEEFF" w:val="clear"/>
            <w:vAlign w:val="center"/>
          </w:tcPr>
          <w:p>
            <w:pPr>
              <w:pStyle w:val="TableContents"/>
              <w:bidi w:val="0"/>
              <w:spacing w:before="0" w:after="283"/>
              <w:jc w:val="left"/>
              <w:rPr>
                <w:sz w:val="20"/>
              </w:rPr>
            </w:pPr>
            <w:r>
              <w:rPr>
                <w:sz w:val="20"/>
              </w:rPr>
              <w:t>Item 3</w:t>
            </w:r>
          </w:p>
        </w:tc>
        <w:tc>
          <w:tcPr>
            <w:tcW w:w="9175" w:type="dxa"/>
            <w:tcBorders/>
            <w:shd w:fill="CCEEFF" w:val="clear"/>
            <w:vAlign w:val="center"/>
          </w:tcPr>
          <w:p>
            <w:pPr>
              <w:pStyle w:val="TableContents"/>
              <w:bidi w:val="0"/>
              <w:spacing w:before="0" w:after="283"/>
              <w:jc w:val="left"/>
              <w:rPr/>
            </w:pPr>
            <w:hyperlink w:anchor="q2_015">
              <w:r>
                <w:rPr>
                  <w:rStyle w:val="InternetLink"/>
                  <w:sz w:val="20"/>
                </w:rPr>
                <w:t>Defaults Upon Senior Securities</w:t>
              </w:r>
            </w:hyperlink>
          </w:p>
        </w:tc>
        <w:tc>
          <w:tcPr>
            <w:tcW w:w="456" w:type="dxa"/>
            <w:tcBorders/>
            <w:shd w:fill="CCEEFF" w:val="clear"/>
            <w:vAlign w:val="center"/>
          </w:tcPr>
          <w:p>
            <w:pPr>
              <w:pStyle w:val="TableContents"/>
              <w:bidi w:val="0"/>
              <w:spacing w:before="0" w:after="283"/>
              <w:jc w:val="center"/>
              <w:rPr>
                <w:sz w:val="20"/>
              </w:rPr>
            </w:pPr>
            <w:r>
              <w:rPr>
                <w:sz w:val="20"/>
              </w:rPr>
              <w:t>32</w:t>
            </w:r>
          </w:p>
        </w:tc>
      </w:tr>
      <w:tr>
        <w:trPr/>
        <w:tc>
          <w:tcPr>
            <w:tcW w:w="574" w:type="dxa"/>
            <w:tcBorders/>
            <w:shd w:fill="FFFFFF" w:val="clear"/>
            <w:vAlign w:val="center"/>
          </w:tcPr>
          <w:p>
            <w:pPr>
              <w:pStyle w:val="TableContents"/>
              <w:bidi w:val="0"/>
              <w:spacing w:before="0" w:after="283"/>
              <w:jc w:val="left"/>
              <w:rPr>
                <w:sz w:val="20"/>
              </w:rPr>
            </w:pPr>
            <w:r>
              <w:rPr>
                <w:sz w:val="20"/>
              </w:rPr>
              <w:t>Item 4</w:t>
            </w:r>
          </w:p>
        </w:tc>
        <w:tc>
          <w:tcPr>
            <w:tcW w:w="9175" w:type="dxa"/>
            <w:tcBorders/>
            <w:shd w:fill="FFFFFF" w:val="clear"/>
            <w:vAlign w:val="center"/>
          </w:tcPr>
          <w:p>
            <w:pPr>
              <w:pStyle w:val="TableContents"/>
              <w:bidi w:val="0"/>
              <w:spacing w:before="0" w:after="283"/>
              <w:jc w:val="left"/>
              <w:rPr/>
            </w:pPr>
            <w:hyperlink w:anchor="q2_016">
              <w:r>
                <w:rPr>
                  <w:rStyle w:val="InternetLink"/>
                  <w:sz w:val="20"/>
                </w:rPr>
                <w:t>Mine Safety Disclosures</w:t>
              </w:r>
            </w:hyperlink>
          </w:p>
        </w:tc>
        <w:tc>
          <w:tcPr>
            <w:tcW w:w="456" w:type="dxa"/>
            <w:tcBorders/>
            <w:shd w:fill="FFFFFF" w:val="clear"/>
            <w:vAlign w:val="center"/>
          </w:tcPr>
          <w:p>
            <w:pPr>
              <w:pStyle w:val="TableContents"/>
              <w:bidi w:val="0"/>
              <w:spacing w:before="0" w:after="283"/>
              <w:jc w:val="center"/>
              <w:rPr>
                <w:sz w:val="20"/>
              </w:rPr>
            </w:pPr>
            <w:r>
              <w:rPr>
                <w:sz w:val="20"/>
              </w:rPr>
              <w:t>32</w:t>
            </w:r>
          </w:p>
        </w:tc>
      </w:tr>
      <w:tr>
        <w:trPr/>
        <w:tc>
          <w:tcPr>
            <w:tcW w:w="574" w:type="dxa"/>
            <w:tcBorders/>
            <w:shd w:fill="CCEEFF" w:val="clear"/>
            <w:vAlign w:val="center"/>
          </w:tcPr>
          <w:p>
            <w:pPr>
              <w:pStyle w:val="TableContents"/>
              <w:bidi w:val="0"/>
              <w:spacing w:before="0" w:after="283"/>
              <w:jc w:val="left"/>
              <w:rPr>
                <w:sz w:val="20"/>
              </w:rPr>
            </w:pPr>
            <w:r>
              <w:rPr>
                <w:sz w:val="20"/>
              </w:rPr>
              <w:t>Item 5</w:t>
            </w:r>
          </w:p>
        </w:tc>
        <w:tc>
          <w:tcPr>
            <w:tcW w:w="9175" w:type="dxa"/>
            <w:tcBorders/>
            <w:shd w:fill="CCEEFF" w:val="clear"/>
            <w:vAlign w:val="center"/>
          </w:tcPr>
          <w:p>
            <w:pPr>
              <w:pStyle w:val="TableContents"/>
              <w:bidi w:val="0"/>
              <w:spacing w:before="0" w:after="283"/>
              <w:jc w:val="left"/>
              <w:rPr/>
            </w:pPr>
            <w:hyperlink w:anchor="q2_017">
              <w:r>
                <w:rPr>
                  <w:rStyle w:val="InternetLink"/>
                  <w:sz w:val="20"/>
                </w:rPr>
                <w:t>Other Information</w:t>
              </w:r>
            </w:hyperlink>
          </w:p>
        </w:tc>
        <w:tc>
          <w:tcPr>
            <w:tcW w:w="456" w:type="dxa"/>
            <w:tcBorders/>
            <w:shd w:fill="CCEEFF" w:val="clear"/>
            <w:vAlign w:val="center"/>
          </w:tcPr>
          <w:p>
            <w:pPr>
              <w:pStyle w:val="TableContents"/>
              <w:bidi w:val="0"/>
              <w:spacing w:before="0" w:after="283"/>
              <w:jc w:val="center"/>
              <w:rPr>
                <w:sz w:val="20"/>
              </w:rPr>
            </w:pPr>
            <w:r>
              <w:rPr>
                <w:sz w:val="20"/>
              </w:rPr>
              <w:t>32</w:t>
            </w:r>
          </w:p>
        </w:tc>
      </w:tr>
      <w:tr>
        <w:trPr/>
        <w:tc>
          <w:tcPr>
            <w:tcW w:w="574" w:type="dxa"/>
            <w:tcBorders/>
            <w:shd w:fill="FFFFFF" w:val="clear"/>
            <w:vAlign w:val="center"/>
          </w:tcPr>
          <w:p>
            <w:pPr>
              <w:pStyle w:val="TableContents"/>
              <w:bidi w:val="0"/>
              <w:spacing w:before="0" w:after="283"/>
              <w:jc w:val="left"/>
              <w:rPr>
                <w:sz w:val="20"/>
              </w:rPr>
            </w:pPr>
            <w:r>
              <w:rPr>
                <w:sz w:val="20"/>
              </w:rPr>
              <w:t>Item 6</w:t>
            </w:r>
          </w:p>
        </w:tc>
        <w:tc>
          <w:tcPr>
            <w:tcW w:w="9175" w:type="dxa"/>
            <w:tcBorders/>
            <w:shd w:fill="FFFFFF" w:val="clear"/>
            <w:vAlign w:val="center"/>
          </w:tcPr>
          <w:p>
            <w:pPr>
              <w:pStyle w:val="TableContents"/>
              <w:bidi w:val="0"/>
              <w:spacing w:before="0" w:after="283"/>
              <w:jc w:val="left"/>
              <w:rPr/>
            </w:pPr>
            <w:hyperlink w:anchor="q2_018">
              <w:r>
                <w:rPr>
                  <w:rStyle w:val="InternetLink"/>
                  <w:sz w:val="20"/>
                </w:rPr>
                <w:t>Exhibits</w:t>
              </w:r>
            </w:hyperlink>
          </w:p>
        </w:tc>
        <w:tc>
          <w:tcPr>
            <w:tcW w:w="456" w:type="dxa"/>
            <w:tcBorders/>
            <w:shd w:fill="FFFFFF" w:val="clear"/>
            <w:vAlign w:val="center"/>
          </w:tcPr>
          <w:p>
            <w:pPr>
              <w:pStyle w:val="TableContents"/>
              <w:bidi w:val="0"/>
              <w:spacing w:before="0" w:after="283"/>
              <w:jc w:val="center"/>
              <w:rPr>
                <w:sz w:val="20"/>
              </w:rPr>
            </w:pPr>
            <w:r>
              <w:rPr>
                <w:sz w:val="20"/>
              </w:rPr>
              <w:t>33</w:t>
            </w:r>
          </w:p>
        </w:tc>
      </w:tr>
      <w:tr>
        <w:trPr/>
        <w:tc>
          <w:tcPr>
            <w:tcW w:w="574" w:type="dxa"/>
            <w:tcBorders/>
            <w:shd w:fill="CCEEFF" w:val="clear"/>
            <w:vAlign w:val="center"/>
          </w:tcPr>
          <w:p>
            <w:pPr>
              <w:pStyle w:val="TableContents"/>
              <w:bidi w:val="0"/>
              <w:spacing w:before="0" w:after="283"/>
              <w:jc w:val="left"/>
              <w:rPr/>
            </w:pPr>
            <w:r>
              <w:rPr/>
              <w:t> </w:t>
            </w:r>
          </w:p>
        </w:tc>
        <w:tc>
          <w:tcPr>
            <w:tcW w:w="9175" w:type="dxa"/>
            <w:tcBorders/>
            <w:shd w:fill="CCEEFF" w:val="clear"/>
            <w:vAlign w:val="center"/>
          </w:tcPr>
          <w:p>
            <w:pPr>
              <w:pStyle w:val="TableContents"/>
              <w:bidi w:val="0"/>
              <w:spacing w:before="0" w:after="283"/>
              <w:jc w:val="left"/>
              <w:rPr/>
            </w:pPr>
            <w:r>
              <w:rPr/>
              <w:t> </w:t>
            </w:r>
          </w:p>
        </w:tc>
        <w:tc>
          <w:tcPr>
            <w:tcW w:w="456" w:type="dxa"/>
            <w:tcBorders/>
            <w:shd w:fill="CCEEFF" w:val="clear"/>
            <w:vAlign w:val="center"/>
          </w:tcPr>
          <w:p>
            <w:pPr>
              <w:pStyle w:val="TableContents"/>
              <w:bidi w:val="0"/>
              <w:spacing w:before="0" w:after="283"/>
              <w:jc w:val="center"/>
              <w:rPr/>
            </w:pPr>
            <w:r>
              <w:rPr/>
              <w:t> </w:t>
            </w:r>
          </w:p>
        </w:tc>
      </w:tr>
      <w:tr>
        <w:trPr/>
        <w:tc>
          <w:tcPr>
            <w:tcW w:w="9749" w:type="dxa"/>
            <w:gridSpan w:val="2"/>
            <w:tcBorders/>
            <w:shd w:fill="FFFFFF" w:val="clear"/>
            <w:vAlign w:val="center"/>
          </w:tcPr>
          <w:p>
            <w:pPr>
              <w:pStyle w:val="TableContents"/>
              <w:bidi w:val="0"/>
              <w:spacing w:before="0" w:after="283"/>
              <w:jc w:val="left"/>
              <w:rPr/>
            </w:pPr>
            <w:hyperlink w:anchor="q2_019">
              <w:r>
                <w:rPr>
                  <w:rStyle w:val="InternetLink"/>
                  <w:sz w:val="20"/>
                </w:rPr>
                <w:t>Signatures</w:t>
              </w:r>
            </w:hyperlink>
          </w:p>
        </w:tc>
        <w:tc>
          <w:tcPr>
            <w:tcW w:w="456" w:type="dxa"/>
            <w:tcBorders/>
            <w:shd w:fill="FFFFFF" w:val="clear"/>
            <w:vAlign w:val="center"/>
          </w:tcPr>
          <w:p>
            <w:pPr>
              <w:pStyle w:val="TableContents"/>
              <w:bidi w:val="0"/>
              <w:spacing w:before="0" w:after="283"/>
              <w:jc w:val="center"/>
              <w:rPr>
                <w:sz w:val="20"/>
              </w:rPr>
            </w:pPr>
            <w:r>
              <w:rPr>
                <w:sz w:val="20"/>
              </w:rPr>
              <w:t>34</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q2_001"/>
      <w:bookmarkEnd w:id="26"/>
      <w:r>
        <w:rPr>
          <w:rFonts w:ascii="Times New Roman;Times;Serif" w:hAnsi="Times New Roman;Times;Serif"/>
          <w:b/>
          <w:i w:val="false"/>
          <w:caps w:val="false"/>
          <w:smallCaps w:val="false"/>
          <w:sz w:val="20"/>
        </w:rPr>
        <w:t>PART I—FINANCIAL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 w:name="q2_002"/>
      <w:bookmarkEnd w:id="27"/>
      <w:r>
        <w:rPr>
          <w:rFonts w:ascii="Times New Roman;Times;Serif" w:hAnsi="Times New Roman;Times;Serif"/>
          <w:b/>
          <w:i w:val="false"/>
          <w:caps w:val="false"/>
          <w:smallCaps w:val="false"/>
          <w:sz w:val="20"/>
        </w:rPr>
        <w:t>Item 1.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q2_003"/>
      <w:bookmarkEnd w:id="28"/>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thousands, except share and per share amounts)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9" w:name="xdx_309_111_pn3n3_zQ3XbBfuUYei"/>
      <w:bookmarkStart w:id="30" w:name="xdx_309_111_pn3n3_zQ3XbBfuUYei"/>
      <w:bookmarkEnd w:id="30"/>
    </w:p>
    <w:tbl>
      <w:tblPr>
        <w:tblW w:w="10205" w:type="dxa"/>
        <w:jc w:val="left"/>
        <w:tblInd w:w="0" w:type="dxa"/>
        <w:tblLayout w:type="fixed"/>
        <w:tblCellMar>
          <w:top w:w="0" w:type="dxa"/>
          <w:left w:w="0" w:type="dxa"/>
          <w:bottom w:w="0" w:type="dxa"/>
          <w:right w:w="0" w:type="dxa"/>
        </w:tblCellMar>
      </w:tblPr>
      <w:tblGrid>
        <w:gridCol w:w="7554"/>
        <w:gridCol w:w="60"/>
        <w:gridCol w:w="164"/>
        <w:gridCol w:w="1030"/>
        <w:gridCol w:w="95"/>
        <w:gridCol w:w="60"/>
        <w:gridCol w:w="158"/>
        <w:gridCol w:w="996"/>
        <w:gridCol w:w="88"/>
      </w:tblGrid>
      <w:tr>
        <w:trPr/>
        <w:tc>
          <w:tcPr>
            <w:tcW w:w="755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bookmarkStart w:id="31" w:name="xdx_490_20260630_zmXgGvK2fuNh"/>
            <w:bookmarkEnd w:id="31"/>
          </w:p>
        </w:tc>
        <w:tc>
          <w:tcPr>
            <w:tcW w:w="1030"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bookmarkStart w:id="32" w:name="xdx_491_20251231_zIMPVxnazxjh"/>
            <w:bookmarkEnd w:id="32"/>
          </w:p>
        </w:tc>
        <w:tc>
          <w:tcPr>
            <w:tcW w:w="996" w:type="dxa"/>
            <w:tcBorders/>
            <w:shd w:fill="FFFFFF" w:val="clear"/>
            <w:vAlign w:val="center"/>
          </w:tcPr>
          <w:p>
            <w:pPr>
              <w:pStyle w:val="TableContents"/>
              <w:bidi w:val="0"/>
              <w:spacing w:before="0" w:after="283"/>
              <w:jc w:val="center"/>
              <w:rPr/>
            </w:pPr>
            <w:r>
              <w:rPr/>
              <w:t> </w:t>
            </w:r>
          </w:p>
        </w:tc>
        <w:tc>
          <w:tcPr>
            <w:tcW w:w="88" w:type="dxa"/>
            <w:tcBorders/>
            <w:shd w:fill="FFFFFF" w:val="clear"/>
            <w:vAlign w:val="center"/>
          </w:tcPr>
          <w:p>
            <w:pPr>
              <w:pStyle w:val="TableContents"/>
              <w:bidi w:val="0"/>
              <w:spacing w:before="0" w:after="283"/>
              <w:jc w:val="left"/>
              <w:rPr/>
            </w:pPr>
            <w:r>
              <w:rPr/>
              <w:t> </w:t>
            </w:r>
          </w:p>
        </w:tc>
      </w:tr>
      <w:tr>
        <w:trPr/>
        <w:tc>
          <w:tcPr>
            <w:tcW w:w="75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88" w:type="dxa"/>
            <w:tcBorders/>
            <w:vAlign w:val="center"/>
          </w:tcPr>
          <w:p>
            <w:pPr>
              <w:pStyle w:val="TableContents"/>
              <w:bidi w:val="0"/>
              <w:spacing w:before="0" w:after="283"/>
              <w:jc w:val="left"/>
              <w:rPr/>
            </w:pPr>
            <w:r>
              <w:rPr/>
              <w:t> </w:t>
            </w:r>
          </w:p>
        </w:tc>
      </w:tr>
      <w:tr>
        <w:trPr/>
        <w:tc>
          <w:tcPr>
            <w:tcW w:w="755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4" w:type="dxa"/>
            <w:gridSpan w:val="2"/>
            <w:tcBorders/>
            <w:vAlign w:val="center"/>
          </w:tcPr>
          <w:p>
            <w:pPr>
              <w:pStyle w:val="TableContents"/>
              <w:bidi w:val="0"/>
              <w:spacing w:before="0" w:after="283"/>
              <w:jc w:val="center"/>
              <w:rPr>
                <w:b/>
              </w:rPr>
            </w:pPr>
            <w:r>
              <w:rPr>
                <w:b/>
              </w:rPr>
              <w:t>(Unaudited)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4" w:type="dxa"/>
            <w:gridSpan w:val="2"/>
            <w:tcBorders/>
            <w:vAlign w:val="center"/>
          </w:tcPr>
          <w:p>
            <w:pPr>
              <w:pStyle w:val="TableContents"/>
              <w:bidi w:val="0"/>
              <w:spacing w:before="0" w:after="283"/>
              <w:jc w:val="right"/>
              <w:rPr/>
            </w:pPr>
            <w:r>
              <w:rPr/>
              <w:t> </w:t>
            </w:r>
          </w:p>
        </w:tc>
        <w:tc>
          <w:tcPr>
            <w:tcW w:w="88" w:type="dxa"/>
            <w:tcBorders/>
            <w:vAlign w:val="center"/>
          </w:tcPr>
          <w:p>
            <w:pPr>
              <w:pStyle w:val="TableContents"/>
              <w:bidi w:val="0"/>
              <w:spacing w:before="0" w:after="283"/>
              <w:jc w:val="left"/>
              <w:rPr/>
            </w:pPr>
            <w:r>
              <w:rPr/>
              <w:t> </w:t>
            </w:r>
            <w:bookmarkStart w:id="33" w:name="xdx_40E_eus-gaap--AssetsAbstract_iB_z4wu"/>
            <w:bookmarkEnd w:id="33"/>
          </w:p>
        </w:tc>
      </w:tr>
      <w:tr>
        <w:trPr/>
        <w:tc>
          <w:tcPr>
            <w:tcW w:w="7554"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jc w:val="left"/>
              <w:rPr/>
            </w:pPr>
            <w:r>
              <w:rPr/>
              <w:t> </w:t>
            </w:r>
            <w:bookmarkStart w:id="34" w:name="xdx_408_eus-gaap--AssetsCurrentAbstract_"/>
            <w:bookmarkEnd w:id="34"/>
          </w:p>
        </w:tc>
      </w:tr>
      <w:tr>
        <w:trPr/>
        <w:tc>
          <w:tcPr>
            <w:tcW w:w="7554"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ind w:left="0" w:right="0" w:hanging="200"/>
              <w:jc w:val="left"/>
              <w:rPr/>
            </w:pPr>
            <w:r>
              <w:rPr/>
              <w:t> </w:t>
            </w:r>
            <w:bookmarkStart w:id="35" w:name="xdx_402_eus-gaap--CashCashEquivalentsRes"/>
            <w:bookmarkEnd w:id="35"/>
          </w:p>
        </w:tc>
      </w:tr>
      <w:tr>
        <w:trPr/>
        <w:tc>
          <w:tcPr>
            <w:tcW w:w="7554"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p>
        </w:tc>
        <w:tc>
          <w:tcPr>
            <w:tcW w:w="1030" w:type="dxa"/>
            <w:tcBorders/>
            <w:shd w:fill="CCEEFF" w:val="clear"/>
            <w:vAlign w:val="center"/>
          </w:tcPr>
          <w:p>
            <w:pPr>
              <w:pStyle w:val="TableContents"/>
              <w:bidi w:val="0"/>
              <w:spacing w:before="0" w:after="283"/>
              <w:jc w:val="right"/>
              <w:rPr/>
            </w:pPr>
            <w:r>
              <w:rPr/>
              <w:t>12,771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w:t>
            </w:r>
          </w:p>
        </w:tc>
        <w:tc>
          <w:tcPr>
            <w:tcW w:w="996" w:type="dxa"/>
            <w:tcBorders/>
            <w:shd w:fill="CCEEFF" w:val="clear"/>
            <w:vAlign w:val="center"/>
          </w:tcPr>
          <w:p>
            <w:pPr>
              <w:pStyle w:val="TableContents"/>
              <w:bidi w:val="0"/>
              <w:spacing w:before="0" w:after="283"/>
              <w:jc w:val="right"/>
              <w:rPr/>
            </w:pPr>
            <w:r>
              <w:rPr/>
              <w:t>1,659</w:t>
            </w:r>
          </w:p>
        </w:tc>
        <w:tc>
          <w:tcPr>
            <w:tcW w:w="88" w:type="dxa"/>
            <w:tcBorders/>
            <w:shd w:fill="CCEEFF" w:val="clear"/>
            <w:vAlign w:val="center"/>
          </w:tcPr>
          <w:p>
            <w:pPr>
              <w:pStyle w:val="TableContents"/>
              <w:bidi w:val="0"/>
              <w:spacing w:before="0" w:after="283"/>
              <w:ind w:left="0" w:right="0" w:hanging="200"/>
              <w:jc w:val="left"/>
              <w:rPr/>
            </w:pPr>
            <w:r>
              <w:rPr/>
              <w:t> </w:t>
            </w:r>
            <w:bookmarkStart w:id="36" w:name="xdx_405_eus-gaap--PrepaidExpenseAndOther"/>
            <w:bookmarkEnd w:id="36"/>
          </w:p>
        </w:tc>
      </w:tr>
      <w:tr>
        <w:trPr/>
        <w:tc>
          <w:tcPr>
            <w:tcW w:w="7554"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FFFFFF" w:val="clear"/>
            <w:tcMar>
              <w:bottom w:w="28" w:type="dxa"/>
            </w:tcMar>
            <w:vAlign w:val="center"/>
          </w:tcPr>
          <w:p>
            <w:pPr>
              <w:pStyle w:val="TableContents"/>
              <w:bidi w:val="0"/>
              <w:spacing w:before="0" w:after="283"/>
              <w:jc w:val="right"/>
              <w:rPr/>
            </w:pPr>
            <w:r>
              <w:rPr/>
              <w:t>188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pPr>
            <w:r>
              <w:rPr/>
              <w:t>181</w:t>
            </w:r>
          </w:p>
        </w:tc>
        <w:tc>
          <w:tcPr>
            <w:tcW w:w="88" w:type="dxa"/>
            <w:tcBorders/>
            <w:shd w:fill="FFFFFF" w:val="clear"/>
            <w:vAlign w:val="center"/>
          </w:tcPr>
          <w:p>
            <w:pPr>
              <w:pStyle w:val="TableContents"/>
              <w:bidi w:val="0"/>
              <w:spacing w:before="0" w:after="283"/>
              <w:ind w:left="0" w:right="0" w:hanging="200"/>
              <w:jc w:val="left"/>
              <w:rPr/>
            </w:pPr>
            <w:r>
              <w:rPr/>
              <w:t> </w:t>
            </w:r>
            <w:bookmarkStart w:id="37" w:name="xdx_402_eus-gaap--AssetsCurrent_i02TI_mt"/>
            <w:bookmarkEnd w:id="37"/>
          </w:p>
        </w:tc>
      </w:tr>
      <w:tr>
        <w:trPr/>
        <w:tc>
          <w:tcPr>
            <w:tcW w:w="7554"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12,959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1,840</w:t>
            </w:r>
          </w:p>
        </w:tc>
        <w:tc>
          <w:tcPr>
            <w:tcW w:w="88" w:type="dxa"/>
            <w:tcBorders/>
            <w:shd w:fill="CCEEFF" w:val="clear"/>
            <w:vAlign w:val="center"/>
          </w:tcPr>
          <w:p>
            <w:pPr>
              <w:pStyle w:val="TableContents"/>
              <w:bidi w:val="0"/>
              <w:spacing w:before="0" w:after="283"/>
              <w:ind w:left="0" w:right="0" w:hanging="200"/>
              <w:jc w:val="left"/>
              <w:rPr/>
            </w:pPr>
            <w:r>
              <w:rPr/>
              <w:t> </w:t>
            </w:r>
            <w:bookmarkStart w:id="38" w:name="xdx_400_eus-gaap--OtherAssetsNoncurrent_"/>
            <w:bookmarkEnd w:id="38"/>
          </w:p>
        </w:tc>
      </w:tr>
      <w:tr>
        <w:trPr/>
        <w:tc>
          <w:tcPr>
            <w:tcW w:w="7554" w:type="dxa"/>
            <w:tcBorders/>
            <w:shd w:fill="FFFFFF" w:val="clear"/>
            <w:vAlign w:val="center"/>
          </w:tcPr>
          <w:p>
            <w:pPr>
              <w:pStyle w:val="TableContents"/>
              <w:bidi w:val="0"/>
              <w:spacing w:before="0" w:after="283"/>
              <w:jc w:val="left"/>
              <w:rPr/>
            </w:pPr>
            <w:r>
              <w:rPr/>
              <w:t>Other non-current assets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FFFFFF" w:val="clear"/>
            <w:tcMar>
              <w:bottom w:w="28" w:type="dxa"/>
            </w:tcMar>
            <w:vAlign w:val="center"/>
          </w:tcPr>
          <w:p>
            <w:pPr>
              <w:pStyle w:val="TableContents"/>
              <w:bidi w:val="0"/>
              <w:spacing w:before="0" w:after="283"/>
              <w:jc w:val="right"/>
              <w:rPr/>
            </w:pPr>
            <w:r>
              <w:rPr/>
              <w:t>385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pPr>
            <w:r>
              <w:rPr/>
              <w:t>432</w:t>
            </w:r>
          </w:p>
        </w:tc>
        <w:tc>
          <w:tcPr>
            <w:tcW w:w="88" w:type="dxa"/>
            <w:tcBorders/>
            <w:shd w:fill="FFFFFF" w:val="clear"/>
            <w:vAlign w:val="center"/>
          </w:tcPr>
          <w:p>
            <w:pPr>
              <w:pStyle w:val="TableContents"/>
              <w:bidi w:val="0"/>
              <w:spacing w:before="0" w:after="283"/>
              <w:ind w:left="0" w:right="0" w:hanging="200"/>
              <w:jc w:val="left"/>
              <w:rPr/>
            </w:pPr>
            <w:r>
              <w:rPr/>
              <w:t> </w:t>
            </w:r>
            <w:bookmarkStart w:id="39" w:name="xdx_40F_eus-gaap--Assets_i01TI_mtCz0jn_z"/>
            <w:bookmarkEnd w:id="39"/>
          </w:p>
        </w:tc>
      </w:tr>
      <w:tr>
        <w:trPr/>
        <w:tc>
          <w:tcPr>
            <w:tcW w:w="7554" w:type="dxa"/>
            <w:tcBorders/>
            <w:shd w:fill="CCEEFF" w:val="clear"/>
            <w:vAlign w:val="center"/>
          </w:tcPr>
          <w:p>
            <w:pPr>
              <w:pStyle w:val="TableContents"/>
              <w:bidi w:val="0"/>
              <w:spacing w:before="0" w:after="283"/>
              <w:jc w:val="left"/>
              <w:rPr/>
            </w:pPr>
            <w:r>
              <w:rPr/>
              <w:t>Total assets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30" w:type="dxa"/>
            <w:tcBorders>
              <w:bottom w:val="double" w:sz="6" w:space="0" w:color="000000"/>
            </w:tcBorders>
            <w:shd w:fill="CCEEFF" w:val="clear"/>
            <w:tcMar>
              <w:bottom w:w="28" w:type="dxa"/>
            </w:tcMar>
            <w:vAlign w:val="center"/>
          </w:tcPr>
          <w:p>
            <w:pPr>
              <w:pStyle w:val="TableContents"/>
              <w:bidi w:val="0"/>
              <w:spacing w:before="0" w:after="283"/>
              <w:jc w:val="right"/>
              <w:rPr/>
            </w:pPr>
            <w:r>
              <w:rPr/>
              <w:t>13,344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jc w:val="right"/>
              <w:rPr/>
            </w:pPr>
            <w:r>
              <w:rPr/>
              <w:t>2,272</w:t>
            </w:r>
          </w:p>
        </w:tc>
        <w:tc>
          <w:tcPr>
            <w:tcW w:w="88" w:type="dxa"/>
            <w:tcBorders/>
            <w:shd w:fill="CCEEFF" w:val="clear"/>
            <w:vAlign w:val="center"/>
          </w:tcPr>
          <w:p>
            <w:pPr>
              <w:pStyle w:val="TableContents"/>
              <w:bidi w:val="0"/>
              <w:spacing w:before="0" w:after="283"/>
              <w:jc w:val="left"/>
              <w:rPr/>
            </w:pPr>
            <w:r>
              <w:rPr/>
              <w:t> </w:t>
            </w:r>
            <w:bookmarkStart w:id="40" w:name="xdx_407_eus-gaap--LiabilitiesAndStockhol"/>
            <w:bookmarkEnd w:id="40"/>
          </w:p>
        </w:tc>
      </w:tr>
      <w:tr>
        <w:trPr/>
        <w:tc>
          <w:tcPr>
            <w:tcW w:w="7554" w:type="dxa"/>
            <w:tcBorders/>
            <w:shd w:fill="FFFFFF" w:val="clear"/>
            <w:vAlign w:val="center"/>
          </w:tcPr>
          <w:p>
            <w:pPr>
              <w:pStyle w:val="TableContents"/>
              <w:bidi w:val="0"/>
              <w:spacing w:before="0" w:after="283"/>
              <w:jc w:val="left"/>
              <w:rPr>
                <w:b/>
              </w:rPr>
            </w:pPr>
            <w:r>
              <w:rPr>
                <w:b/>
              </w:rPr>
              <w:t>Liabilities and Stockholders’ Deficit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 </w:t>
            </w:r>
          </w:p>
        </w:tc>
        <w:tc>
          <w:tcPr>
            <w:tcW w:w="88" w:type="dxa"/>
            <w:tcBorders/>
            <w:shd w:fill="FFFFFF" w:val="clear"/>
            <w:vAlign w:val="center"/>
          </w:tcPr>
          <w:p>
            <w:pPr>
              <w:pStyle w:val="TableContents"/>
              <w:bidi w:val="0"/>
              <w:spacing w:before="0" w:after="283"/>
              <w:jc w:val="left"/>
              <w:rPr/>
            </w:pPr>
            <w:r>
              <w:rPr/>
              <w:t> </w:t>
            </w:r>
            <w:bookmarkStart w:id="41" w:name="xdx_40B_eus-gaap--LiabilitiesCurrentAbst"/>
            <w:bookmarkEnd w:id="41"/>
          </w:p>
        </w:tc>
      </w:tr>
      <w:tr>
        <w:trPr/>
        <w:tc>
          <w:tcPr>
            <w:tcW w:w="7554"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bookmarkStart w:id="42" w:name="xdx_403_eus-gaap--AccountsPayableCurrent"/>
            <w:bookmarkEnd w:id="42"/>
          </w:p>
        </w:tc>
      </w:tr>
      <w:tr>
        <w:trPr/>
        <w:tc>
          <w:tcPr>
            <w:tcW w:w="7554"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p>
        </w:tc>
        <w:tc>
          <w:tcPr>
            <w:tcW w:w="1030" w:type="dxa"/>
            <w:tcBorders/>
            <w:shd w:fill="FFFFFF" w:val="clear"/>
            <w:vAlign w:val="center"/>
          </w:tcPr>
          <w:p>
            <w:pPr>
              <w:pStyle w:val="TableContents"/>
              <w:bidi w:val="0"/>
              <w:spacing w:before="0" w:after="283"/>
              <w:jc w:val="right"/>
              <w:rPr/>
            </w:pPr>
            <w:r>
              <w:rPr/>
              <w:t>3,749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w:t>
            </w:r>
          </w:p>
        </w:tc>
        <w:tc>
          <w:tcPr>
            <w:tcW w:w="996" w:type="dxa"/>
            <w:tcBorders/>
            <w:shd w:fill="FFFFFF" w:val="clear"/>
            <w:vAlign w:val="center"/>
          </w:tcPr>
          <w:p>
            <w:pPr>
              <w:pStyle w:val="TableContents"/>
              <w:bidi w:val="0"/>
              <w:spacing w:before="0" w:after="283"/>
              <w:jc w:val="right"/>
              <w:rPr/>
            </w:pPr>
            <w:r>
              <w:rPr/>
              <w:t>3,963</w:t>
            </w:r>
          </w:p>
        </w:tc>
        <w:tc>
          <w:tcPr>
            <w:tcW w:w="88" w:type="dxa"/>
            <w:tcBorders/>
            <w:shd w:fill="FFFFFF" w:val="clear"/>
            <w:vAlign w:val="center"/>
          </w:tcPr>
          <w:p>
            <w:pPr>
              <w:pStyle w:val="TableContents"/>
              <w:bidi w:val="0"/>
              <w:spacing w:before="0" w:after="283"/>
              <w:ind w:left="0" w:right="0" w:hanging="200"/>
              <w:jc w:val="left"/>
              <w:rPr/>
            </w:pPr>
            <w:r>
              <w:rPr/>
              <w:t> </w:t>
            </w:r>
            <w:bookmarkStart w:id="43" w:name="xdx_402_eus-gaap--AccruedLiabilitiesAndO"/>
            <w:bookmarkEnd w:id="43"/>
          </w:p>
        </w:tc>
      </w:tr>
      <w:tr>
        <w:trPr/>
        <w:tc>
          <w:tcPr>
            <w:tcW w:w="7554"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1,590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1,764</w:t>
            </w:r>
          </w:p>
        </w:tc>
        <w:tc>
          <w:tcPr>
            <w:tcW w:w="88" w:type="dxa"/>
            <w:tcBorders/>
            <w:shd w:fill="CCEEFF" w:val="clear"/>
            <w:vAlign w:val="center"/>
          </w:tcPr>
          <w:p>
            <w:pPr>
              <w:pStyle w:val="TableContents"/>
              <w:bidi w:val="0"/>
              <w:spacing w:before="0" w:after="283"/>
              <w:ind w:left="0" w:right="0" w:hanging="200"/>
              <w:jc w:val="left"/>
              <w:rPr/>
            </w:pPr>
            <w:r>
              <w:rPr/>
              <w:t> </w:t>
            </w:r>
            <w:bookmarkStart w:id="44" w:name="xdx_40F_eus-gaap--OtherLiabilities_i02I_"/>
            <w:bookmarkEnd w:id="44"/>
          </w:p>
        </w:tc>
      </w:tr>
      <w:tr>
        <w:trPr/>
        <w:tc>
          <w:tcPr>
            <w:tcW w:w="7554" w:type="dxa"/>
            <w:tcBorders/>
            <w:shd w:fill="FFFFFF" w:val="clear"/>
            <w:vAlign w:val="center"/>
          </w:tcPr>
          <w:p>
            <w:pPr>
              <w:pStyle w:val="TableContents"/>
              <w:bidi w:val="0"/>
              <w:spacing w:before="0" w:after="283"/>
              <w:jc w:val="left"/>
              <w:rPr/>
            </w:pPr>
            <w:r>
              <w:rPr/>
              <w:t>Other liabilities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406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406</w:t>
            </w:r>
          </w:p>
        </w:tc>
        <w:tc>
          <w:tcPr>
            <w:tcW w:w="88" w:type="dxa"/>
            <w:tcBorders/>
            <w:shd w:fill="FFFFFF" w:val="clear"/>
            <w:vAlign w:val="center"/>
          </w:tcPr>
          <w:p>
            <w:pPr>
              <w:pStyle w:val="TableContents"/>
              <w:bidi w:val="0"/>
              <w:spacing w:before="0" w:after="283"/>
              <w:ind w:left="0" w:right="0" w:hanging="200"/>
              <w:jc w:val="left"/>
              <w:rPr/>
            </w:pPr>
            <w:r>
              <w:rPr/>
              <w:t> </w:t>
            </w:r>
            <w:bookmarkStart w:id="45" w:name="xdx_404_eus-gaap--ConvertibleNotesPayabl"/>
            <w:bookmarkEnd w:id="45"/>
          </w:p>
        </w:tc>
      </w:tr>
      <w:tr>
        <w:trPr/>
        <w:tc>
          <w:tcPr>
            <w:tcW w:w="7554" w:type="dxa"/>
            <w:tcBorders/>
            <w:shd w:fill="CCEEFF" w:val="clear"/>
            <w:vAlign w:val="center"/>
          </w:tcPr>
          <w:p>
            <w:pPr>
              <w:pStyle w:val="TableContents"/>
              <w:bidi w:val="0"/>
              <w:spacing w:before="0" w:after="283"/>
              <w:jc w:val="left"/>
              <w:rPr/>
            </w:pPr>
            <w:r>
              <w:rPr/>
              <w:t>Convertible promissory notes, current ($</w:t>
            </w:r>
            <w:bookmarkStart w:id="46" w:name="xdx_90A_ecustom--ConvertibleNotesPayable"/>
            <w:bookmarkStart w:id="47" w:name="xdx_905_ecustom--ConvertibleNotesPayable"/>
            <w:bookmarkEnd w:id="46"/>
            <w:bookmarkEnd w:id="47"/>
            <w:r>
              <w:rPr/>
              <w:t>300 to related parties)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3,107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3,133</w:t>
            </w:r>
          </w:p>
        </w:tc>
        <w:tc>
          <w:tcPr>
            <w:tcW w:w="88" w:type="dxa"/>
            <w:tcBorders/>
            <w:shd w:fill="CCEEFF" w:val="clear"/>
            <w:vAlign w:val="center"/>
          </w:tcPr>
          <w:p>
            <w:pPr>
              <w:pStyle w:val="TableContents"/>
              <w:bidi w:val="0"/>
              <w:spacing w:before="0" w:after="283"/>
              <w:ind w:left="0" w:right="0" w:hanging="200"/>
              <w:jc w:val="left"/>
              <w:rPr/>
            </w:pPr>
            <w:r>
              <w:rPr/>
              <w:t> </w:t>
            </w:r>
            <w:bookmarkStart w:id="48" w:name="xdx_40A_eus-gaap--SeniorNotesCurrent_i02"/>
            <w:bookmarkEnd w:id="48"/>
          </w:p>
        </w:tc>
      </w:tr>
      <w:tr>
        <w:trPr/>
        <w:tc>
          <w:tcPr>
            <w:tcW w:w="7554" w:type="dxa"/>
            <w:tcBorders/>
            <w:shd w:fill="FFFFFF" w:val="clear"/>
            <w:vAlign w:val="center"/>
          </w:tcPr>
          <w:p>
            <w:pPr>
              <w:pStyle w:val="TableContents"/>
              <w:bidi w:val="0"/>
              <w:spacing w:before="0" w:after="283"/>
              <w:jc w:val="left"/>
              <w:rPr/>
            </w:pPr>
            <w:r>
              <w:rPr/>
              <w:t>Senior secured notes, current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FFFFFF" w:val="clear"/>
            <w:tcMar>
              <w:bottom w:w="28" w:type="dxa"/>
            </w:tcMar>
            <w:vAlign w:val="center"/>
          </w:tcPr>
          <w:p>
            <w:pPr>
              <w:pStyle w:val="TableContents"/>
              <w:bidi w:val="0"/>
              <w:spacing w:before="0" w:after="283"/>
              <w:jc w:val="right"/>
              <w:rPr/>
            </w:pPr>
            <w:r>
              <w:rPr/>
              <w:t>1,430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pPr>
            <w:r>
              <w:rPr/>
              <w:t>1,273</w:t>
            </w:r>
          </w:p>
        </w:tc>
        <w:tc>
          <w:tcPr>
            <w:tcW w:w="88" w:type="dxa"/>
            <w:tcBorders/>
            <w:shd w:fill="FFFFFF" w:val="clear"/>
            <w:vAlign w:val="center"/>
          </w:tcPr>
          <w:p>
            <w:pPr>
              <w:pStyle w:val="TableContents"/>
              <w:bidi w:val="0"/>
              <w:spacing w:before="0" w:after="283"/>
              <w:ind w:left="0" w:right="0" w:hanging="200"/>
              <w:jc w:val="left"/>
              <w:rPr/>
            </w:pPr>
            <w:r>
              <w:rPr/>
              <w:t> </w:t>
            </w:r>
            <w:bookmarkStart w:id="49" w:name="xdx_408_eus-gaap--Liabilities_i01TI_mtLz"/>
            <w:bookmarkEnd w:id="49"/>
          </w:p>
        </w:tc>
      </w:tr>
      <w:tr>
        <w:trPr/>
        <w:tc>
          <w:tcPr>
            <w:tcW w:w="7554"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CCEEFF" w:val="clear"/>
            <w:tcMar>
              <w:bottom w:w="28" w:type="dxa"/>
            </w:tcMar>
            <w:vAlign w:val="center"/>
          </w:tcPr>
          <w:p>
            <w:pPr>
              <w:pStyle w:val="TableContents"/>
              <w:bidi w:val="0"/>
              <w:spacing w:before="0" w:after="283"/>
              <w:jc w:val="right"/>
              <w:rPr/>
            </w:pPr>
            <w:r>
              <w:rPr/>
              <w:t>10,282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pPr>
            <w:r>
              <w:rPr/>
              <w:t>10,539</w:t>
            </w:r>
          </w:p>
        </w:tc>
        <w:tc>
          <w:tcPr>
            <w:tcW w:w="88" w:type="dxa"/>
            <w:tcBorders/>
            <w:shd w:fill="CCEEFF" w:val="clear"/>
            <w:vAlign w:val="center"/>
          </w:tcPr>
          <w:p>
            <w:pPr>
              <w:pStyle w:val="TableContents"/>
              <w:bidi w:val="0"/>
              <w:spacing w:before="0" w:after="283"/>
              <w:jc w:val="left"/>
              <w:rPr/>
            </w:pPr>
            <w:r>
              <w:rPr/>
              <w:t> </w:t>
            </w:r>
            <w:bookmarkStart w:id="50" w:name="xdx_40E_eus-gaap--CommitmentsAndContinge"/>
            <w:bookmarkEnd w:id="50"/>
          </w:p>
        </w:tc>
      </w:tr>
      <w:tr>
        <w:trPr/>
        <w:tc>
          <w:tcPr>
            <w:tcW w:w="7554" w:type="dxa"/>
            <w:tcBorders/>
            <w:shd w:fill="FFFFFF" w:val="clear"/>
            <w:vAlign w:val="center"/>
          </w:tcPr>
          <w:p>
            <w:pPr>
              <w:pStyle w:val="TableContents"/>
              <w:bidi w:val="0"/>
              <w:spacing w:before="0" w:after="283"/>
              <w:jc w:val="left"/>
              <w:rPr/>
            </w:pPr>
            <w:r>
              <w:rPr/>
              <w:t>Commitments and contingencies (Note 5)</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w:t>
            </w:r>
          </w:p>
        </w:tc>
        <w:tc>
          <w:tcPr>
            <w:tcW w:w="88" w:type="dxa"/>
            <w:tcBorders/>
            <w:shd w:fill="FFFFFF" w:val="clear"/>
            <w:vAlign w:val="center"/>
          </w:tcPr>
          <w:p>
            <w:pPr>
              <w:pStyle w:val="TableContents"/>
              <w:bidi w:val="0"/>
              <w:spacing w:before="0" w:after="283"/>
              <w:jc w:val="left"/>
              <w:rPr/>
            </w:pPr>
            <w:r>
              <w:rPr/>
              <w:t> </w:t>
            </w:r>
            <w:bookmarkStart w:id="51" w:name="xdx_409_eus-gaap--StockholdersEquityAbst"/>
            <w:bookmarkEnd w:id="51"/>
          </w:p>
        </w:tc>
      </w:tr>
      <w:tr>
        <w:trPr/>
        <w:tc>
          <w:tcPr>
            <w:tcW w:w="7554" w:type="dxa"/>
            <w:tcBorders/>
            <w:shd w:fill="CCEEFF" w:val="clear"/>
            <w:vAlign w:val="center"/>
          </w:tcPr>
          <w:p>
            <w:pPr>
              <w:pStyle w:val="TableContents"/>
              <w:bidi w:val="0"/>
              <w:spacing w:before="0" w:after="283"/>
              <w:jc w:val="left"/>
              <w:rPr/>
            </w:pPr>
            <w:r>
              <w:rPr/>
              <w:t>Stockholders’ equity (deficit)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 </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54" w:type="dxa"/>
            <w:tcBorders/>
            <w:shd w:fill="FFFFFF" w:val="clear"/>
            <w:vAlign w:val="center"/>
          </w:tcPr>
          <w:p>
            <w:pPr>
              <w:pStyle w:val="TableContents"/>
              <w:bidi w:val="0"/>
              <w:spacing w:before="0" w:after="283"/>
              <w:jc w:val="left"/>
              <w:rPr/>
            </w:pPr>
            <w:r>
              <w:rPr/>
              <w:t>Convertible preferred stock (Series A), $</w:t>
            </w:r>
            <w:bookmarkStart w:id="52" w:name="xdx_906_eus-gaap--PreferredStockParOrSta"/>
            <w:bookmarkEnd w:id="52"/>
            <w:r>
              <w:rPr/>
              <w:t xml:space="preserve">0.0001 par value; </w:t>
            </w:r>
            <w:bookmarkStart w:id="53" w:name="xdx_90A_eus-gaap--PreferredStockSharesAu"/>
            <w:bookmarkEnd w:id="53"/>
            <w:r>
              <w:rPr/>
              <w:t xml:space="preserve">0 shares authorized at June 30, 2025 and </w:t>
            </w:r>
            <w:bookmarkStart w:id="54" w:name="xdx_900_eus-gaap--PreferredStockSharesAu"/>
            <w:bookmarkEnd w:id="54"/>
            <w:r>
              <w:rPr/>
              <w:t xml:space="preserve">15,000 shares authorized at December 3, 2025; </w:t>
            </w:r>
            <w:bookmarkStart w:id="55" w:name="xdx_906_eus-gaap--PreferredStockSharesOu"/>
            <w:bookmarkStart w:id="56" w:name="xdx_902_eus-gaap--PreferredStockSharesIs"/>
            <w:bookmarkEnd w:id="55"/>
            <w:bookmarkEnd w:id="56"/>
            <w:r>
              <w:rPr/>
              <w:t xml:space="preserve">0 and </w:t>
            </w:r>
            <w:bookmarkStart w:id="57" w:name="xdx_90B_eus-gaap--PreferredStockSharesOu"/>
            <w:bookmarkStart w:id="58" w:name="xdx_908_eus-gaap--PreferredStockSharesIs"/>
            <w:bookmarkEnd w:id="57"/>
            <w:bookmarkEnd w:id="58"/>
            <w:r>
              <w:rPr/>
              <w:t>15,000 shares issued and outstanding at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bookmarkStart w:id="59" w:name="xdx_90B_eus-gaap--PreferredStockValue_iI"/>
            <w:bookmarkEnd w:id="59"/>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bookmarkStart w:id="60" w:name="xdx_902_eus-gaap--PreferredStockValue_iI"/>
            <w:bookmarkEnd w:id="60"/>
            <w:r>
              <w:rPr/>
              <w:t>–</w:t>
            </w:r>
          </w:p>
        </w:tc>
        <w:tc>
          <w:tcPr>
            <w:tcW w:w="88" w:type="dxa"/>
            <w:tcBorders/>
            <w:shd w:fill="FFFFFF" w:val="clear"/>
            <w:vAlign w:val="center"/>
          </w:tcPr>
          <w:p>
            <w:pPr>
              <w:pStyle w:val="TableContents"/>
              <w:bidi w:val="0"/>
              <w:spacing w:before="0" w:after="283"/>
              <w:ind w:left="0" w:right="0" w:hanging="200"/>
              <w:jc w:val="left"/>
              <w:rPr/>
            </w:pPr>
            <w:r>
              <w:rPr/>
              <w:t> </w:t>
            </w:r>
          </w:p>
        </w:tc>
      </w:tr>
      <w:tr>
        <w:trPr/>
        <w:tc>
          <w:tcPr>
            <w:tcW w:w="7554" w:type="dxa"/>
            <w:tcBorders/>
            <w:shd w:fill="CCEEFF" w:val="clear"/>
            <w:vAlign w:val="center"/>
          </w:tcPr>
          <w:p>
            <w:pPr>
              <w:pStyle w:val="TableContents"/>
              <w:bidi w:val="0"/>
              <w:spacing w:before="0" w:after="283"/>
              <w:jc w:val="left"/>
              <w:rPr/>
            </w:pPr>
            <w:r>
              <w:rPr/>
              <w:t>Convertible preferred stock (Series C), $</w:t>
            </w:r>
            <w:bookmarkStart w:id="61" w:name="xdx_909_eus-gaap--PreferredStockParOrSta"/>
            <w:bookmarkStart w:id="62" w:name="xdx_900_eus-gaap--PreferredStockParOrSta"/>
            <w:bookmarkEnd w:id="61"/>
            <w:bookmarkEnd w:id="62"/>
            <w:r>
              <w:rPr/>
              <w:t xml:space="preserve">0.0001 par value; </w:t>
            </w:r>
            <w:bookmarkStart w:id="63" w:name="xdx_908_eus-gaap--PreferredStockSharesAu"/>
            <w:bookmarkStart w:id="64" w:name="xdx_90C_eus-gaap--PreferredStockSharesAu"/>
            <w:bookmarkEnd w:id="63"/>
            <w:bookmarkEnd w:id="64"/>
            <w:r>
              <w:rPr/>
              <w:t xml:space="preserve">23,000 shares authorized; </w:t>
            </w:r>
            <w:bookmarkStart w:id="65" w:name="xdx_90D_eus-gaap--PreferredStockSharesOu"/>
            <w:bookmarkStart w:id="66" w:name="xdx_90E_eus-gaap--PreferredStockSharesIs"/>
            <w:bookmarkEnd w:id="65"/>
            <w:bookmarkEnd w:id="66"/>
            <w:r>
              <w:rPr/>
              <w:t xml:space="preserve">11,983 and </w:t>
            </w:r>
            <w:bookmarkStart w:id="67" w:name="xdx_905_eus-gaap--PreferredStockSharesOu"/>
            <w:bookmarkStart w:id="68" w:name="xdx_904_eus-gaap--PreferredStockSharesIs"/>
            <w:bookmarkEnd w:id="67"/>
            <w:bookmarkEnd w:id="68"/>
            <w:r>
              <w:rPr/>
              <w:t>11,983 shares issued and outstanding at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bookmarkStart w:id="69" w:name="xdx_909_eus-gaap--PreferredStockValue_iI"/>
            <w:bookmarkEnd w:id="69"/>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bookmarkStart w:id="70" w:name="xdx_90A_eus-gaap--PreferredStockValue_iI"/>
            <w:bookmarkEnd w:id="70"/>
            <w:r>
              <w:rPr/>
              <w:t>–</w:t>
            </w:r>
          </w:p>
        </w:tc>
        <w:tc>
          <w:tcPr>
            <w:tcW w:w="88" w:type="dxa"/>
            <w:tcBorders/>
            <w:shd w:fill="CCEEFF" w:val="clear"/>
            <w:vAlign w:val="center"/>
          </w:tcPr>
          <w:p>
            <w:pPr>
              <w:pStyle w:val="TableContents"/>
              <w:bidi w:val="0"/>
              <w:spacing w:before="0" w:after="283"/>
              <w:ind w:left="0" w:right="0" w:hanging="200"/>
              <w:jc w:val="left"/>
              <w:rPr/>
            </w:pPr>
            <w:r>
              <w:rPr/>
              <w:t> </w:t>
            </w:r>
          </w:p>
        </w:tc>
      </w:tr>
      <w:tr>
        <w:trPr/>
        <w:tc>
          <w:tcPr>
            <w:tcW w:w="7554" w:type="dxa"/>
            <w:tcBorders/>
            <w:shd w:fill="FFFFFF" w:val="clear"/>
            <w:vAlign w:val="center"/>
          </w:tcPr>
          <w:p>
            <w:pPr>
              <w:pStyle w:val="TableContents"/>
              <w:bidi w:val="0"/>
              <w:spacing w:before="0" w:after="283"/>
              <w:jc w:val="left"/>
              <w:rPr/>
            </w:pPr>
            <w:r>
              <w:rPr/>
              <w:t>Convertible preferred stock (Series D), $</w:t>
            </w:r>
            <w:bookmarkStart w:id="71" w:name="xdx_900_eus-gaap--PreferredStockParOrSta"/>
            <w:bookmarkEnd w:id="71"/>
            <w:r>
              <w:rPr/>
              <w:t xml:space="preserve">0.0001 par value; </w:t>
            </w:r>
            <w:bookmarkStart w:id="72" w:name="xdx_909_eus-gaap--PreferredStockSharesAu"/>
            <w:bookmarkEnd w:id="72"/>
            <w:r>
              <w:rPr/>
              <w:t xml:space="preserve">15,000 shares authorized; </w:t>
            </w:r>
            <w:bookmarkStart w:id="73" w:name="xdx_90A_eus-gaap--PreferredStockSharesOu"/>
            <w:bookmarkStart w:id="74" w:name="xdx_909_eus-gaap--PreferredStockSharesIs"/>
            <w:bookmarkEnd w:id="73"/>
            <w:bookmarkEnd w:id="74"/>
            <w:r>
              <w:rPr/>
              <w:t xml:space="preserve">15,000 and </w:t>
            </w:r>
            <w:bookmarkStart w:id="75" w:name="xdx_90F_eus-gaap--PreferredStockSharesOu"/>
            <w:bookmarkStart w:id="76" w:name="xdx_90B_eus-gaap--PreferredStockSharesIs"/>
            <w:bookmarkEnd w:id="75"/>
            <w:bookmarkEnd w:id="76"/>
            <w:r>
              <w:rPr/>
              <w:t>0 shares issued and outstanding at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bookmarkStart w:id="77" w:name="xdx_902_eus-gaap--PreferredStockValue_iI"/>
            <w:bookmarkEnd w:id="77"/>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bookmarkStart w:id="78" w:name="xdx_907_eus-gaap--PreferredStockValue_iI"/>
            <w:bookmarkEnd w:id="78"/>
            <w:r>
              <w:rPr/>
              <w:t>–</w:t>
            </w:r>
          </w:p>
        </w:tc>
        <w:tc>
          <w:tcPr>
            <w:tcW w:w="88" w:type="dxa"/>
            <w:tcBorders/>
            <w:shd w:fill="FFFFFF" w:val="clear"/>
            <w:vAlign w:val="center"/>
          </w:tcPr>
          <w:p>
            <w:pPr>
              <w:pStyle w:val="TableContents"/>
              <w:bidi w:val="0"/>
              <w:spacing w:before="0" w:after="283"/>
              <w:ind w:left="0" w:right="0" w:hanging="200"/>
              <w:jc w:val="left"/>
              <w:rPr/>
            </w:pPr>
            <w:r>
              <w:rPr/>
              <w:t> </w:t>
            </w:r>
            <w:bookmarkStart w:id="79" w:name="xdx_40E_eus-gaap--CommonStockValue_iI_ma"/>
            <w:bookmarkEnd w:id="79"/>
          </w:p>
        </w:tc>
      </w:tr>
      <w:tr>
        <w:trPr/>
        <w:tc>
          <w:tcPr>
            <w:tcW w:w="7554" w:type="dxa"/>
            <w:tcBorders/>
            <w:shd w:fill="CCEEFF" w:val="clear"/>
            <w:vAlign w:val="center"/>
          </w:tcPr>
          <w:p>
            <w:pPr>
              <w:pStyle w:val="TableContents"/>
              <w:bidi w:val="0"/>
              <w:spacing w:before="0" w:after="283"/>
              <w:jc w:val="left"/>
              <w:rPr/>
            </w:pPr>
            <w:r>
              <w:rPr/>
              <w:t>Common Stock, $</w:t>
            </w:r>
            <w:bookmarkStart w:id="80" w:name="xdx_902_eus-gaap--CommonStockParOrStated"/>
            <w:bookmarkStart w:id="81" w:name="xdx_90B_eus-gaap--CommonStockParOrStated"/>
            <w:bookmarkEnd w:id="80"/>
            <w:bookmarkEnd w:id="81"/>
            <w:r>
              <w:rPr/>
              <w:t xml:space="preserve">0.0001 par value; </w:t>
            </w:r>
            <w:bookmarkStart w:id="82" w:name="xdx_905_eus-gaap--CommonStockSharesAutho"/>
            <w:bookmarkStart w:id="83" w:name="xdx_906_eus-gaap--CommonStockSharesAutho"/>
            <w:bookmarkEnd w:id="82"/>
            <w:bookmarkEnd w:id="83"/>
            <w:r>
              <w:rPr/>
              <w:t xml:space="preserve">600,000,000 shares authorized; </w:t>
            </w:r>
            <w:bookmarkStart w:id="84" w:name="xdx_906_eus-gaap--CommonStockSharesOutst"/>
            <w:bookmarkStart w:id="85" w:name="xdx_908_eus-gaap--CommonStockSharesIssue"/>
            <w:bookmarkEnd w:id="84"/>
            <w:bookmarkEnd w:id="85"/>
            <w:r>
              <w:rPr/>
              <w:t xml:space="preserve">187,328,921 and </w:t>
            </w:r>
            <w:bookmarkStart w:id="86" w:name="xdx_901_eus-gaap--CommonStockSharesOutst"/>
            <w:bookmarkStart w:id="87" w:name="xdx_90B_eus-gaap--CommonStockSharesIssue"/>
            <w:bookmarkEnd w:id="86"/>
            <w:bookmarkEnd w:id="87"/>
            <w:r>
              <w:rPr/>
              <w:t>172,318,506 shares issued and outstanding at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17</w:t>
            </w:r>
          </w:p>
        </w:tc>
        <w:tc>
          <w:tcPr>
            <w:tcW w:w="88" w:type="dxa"/>
            <w:tcBorders/>
            <w:shd w:fill="CCEEFF" w:val="clear"/>
            <w:vAlign w:val="center"/>
          </w:tcPr>
          <w:p>
            <w:pPr>
              <w:pStyle w:val="TableContents"/>
              <w:bidi w:val="0"/>
              <w:spacing w:before="0" w:after="283"/>
              <w:ind w:left="0" w:right="0" w:hanging="200"/>
              <w:jc w:val="left"/>
              <w:rPr/>
            </w:pPr>
            <w:r>
              <w:rPr/>
              <w:t> </w:t>
            </w:r>
            <w:bookmarkStart w:id="88" w:name="xdx_40F_eus-gaap--AdditionalPaidInCapita"/>
            <w:bookmarkEnd w:id="88"/>
          </w:p>
        </w:tc>
      </w:tr>
      <w:tr>
        <w:trPr/>
        <w:tc>
          <w:tcPr>
            <w:tcW w:w="7554"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pPr>
            <w:r>
              <w:rPr/>
              <w:t>124,949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996" w:type="dxa"/>
            <w:tcBorders/>
            <w:shd w:fill="FFFFFF" w:val="clear"/>
            <w:vAlign w:val="center"/>
          </w:tcPr>
          <w:p>
            <w:pPr>
              <w:pStyle w:val="TableContents"/>
              <w:bidi w:val="0"/>
              <w:spacing w:before="0" w:after="283"/>
              <w:jc w:val="right"/>
              <w:rPr/>
            </w:pPr>
            <w:r>
              <w:rPr/>
              <w:t>110,211</w:t>
            </w:r>
          </w:p>
        </w:tc>
        <w:tc>
          <w:tcPr>
            <w:tcW w:w="88" w:type="dxa"/>
            <w:tcBorders/>
            <w:shd w:fill="FFFFFF" w:val="clear"/>
            <w:vAlign w:val="center"/>
          </w:tcPr>
          <w:p>
            <w:pPr>
              <w:pStyle w:val="TableContents"/>
              <w:bidi w:val="0"/>
              <w:spacing w:before="0" w:after="283"/>
              <w:ind w:left="0" w:right="0" w:hanging="200"/>
              <w:jc w:val="left"/>
              <w:rPr/>
            </w:pPr>
            <w:r>
              <w:rPr/>
              <w:t> </w:t>
            </w:r>
            <w:bookmarkStart w:id="89" w:name="xdx_406_eus-gaap--AccumulatedOtherCompre"/>
            <w:bookmarkEnd w:id="89"/>
          </w:p>
        </w:tc>
      </w:tr>
      <w:tr>
        <w:trPr/>
        <w:tc>
          <w:tcPr>
            <w:tcW w:w="7554" w:type="dxa"/>
            <w:tcBorders/>
            <w:shd w:fill="CCEEFF" w:val="clear"/>
            <w:vAlign w:val="center"/>
          </w:tcPr>
          <w:p>
            <w:pPr>
              <w:pStyle w:val="TableContents"/>
              <w:bidi w:val="0"/>
              <w:spacing w:before="0" w:after="283"/>
              <w:jc w:val="left"/>
              <w:rPr/>
            </w:pPr>
            <w:r>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pPr>
            <w:r>
              <w:rPr/>
              <w:t>(201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996" w:type="dxa"/>
            <w:tcBorders/>
            <w:shd w:fill="CCEEFF" w:val="clear"/>
            <w:vAlign w:val="center"/>
          </w:tcPr>
          <w:p>
            <w:pPr>
              <w:pStyle w:val="TableContents"/>
              <w:bidi w:val="0"/>
              <w:spacing w:before="0" w:after="283"/>
              <w:jc w:val="right"/>
              <w:rPr/>
            </w:pPr>
            <w:r>
              <w:rPr/>
              <w:t>(162</w:t>
            </w:r>
          </w:p>
        </w:tc>
        <w:tc>
          <w:tcPr>
            <w:tcW w:w="88" w:type="dxa"/>
            <w:tcBorders/>
            <w:shd w:fill="CCEEFF" w:val="clear"/>
            <w:vAlign w:val="center"/>
          </w:tcPr>
          <w:p>
            <w:pPr>
              <w:pStyle w:val="TableContents"/>
              <w:bidi w:val="0"/>
              <w:spacing w:before="0" w:after="283"/>
              <w:ind w:left="0" w:right="0" w:hanging="200"/>
              <w:jc w:val="left"/>
              <w:rPr/>
            </w:pPr>
            <w:r>
              <w:rPr/>
              <w:t>)</w:t>
            </w:r>
            <w:bookmarkStart w:id="90" w:name="xdx_404_eus-gaap--RetainedEarningsAccumu"/>
            <w:bookmarkEnd w:id="90"/>
          </w:p>
        </w:tc>
      </w:tr>
      <w:tr>
        <w:trPr/>
        <w:tc>
          <w:tcPr>
            <w:tcW w:w="7554"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FFFFFF" w:val="clear"/>
            <w:tcMar>
              <w:bottom w:w="28" w:type="dxa"/>
            </w:tcMar>
            <w:vAlign w:val="center"/>
          </w:tcPr>
          <w:p>
            <w:pPr>
              <w:pStyle w:val="TableContents"/>
              <w:bidi w:val="0"/>
              <w:spacing w:before="0" w:after="283"/>
              <w:jc w:val="right"/>
              <w:rPr/>
            </w:pPr>
            <w:r>
              <w:rPr/>
              <w:t>(121,705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FFFFFF" w:val="clear"/>
            <w:tcMar>
              <w:bottom w:w="28" w:type="dxa"/>
            </w:tcMar>
            <w:vAlign w:val="center"/>
          </w:tcPr>
          <w:p>
            <w:pPr>
              <w:pStyle w:val="TableContents"/>
              <w:bidi w:val="0"/>
              <w:spacing w:before="0" w:after="283"/>
              <w:jc w:val="right"/>
              <w:rPr/>
            </w:pPr>
            <w:r>
              <w:rPr/>
              <w:t>(118,333</w:t>
            </w:r>
          </w:p>
        </w:tc>
        <w:tc>
          <w:tcPr>
            <w:tcW w:w="88" w:type="dxa"/>
            <w:tcBorders/>
            <w:shd w:fill="FFFFFF" w:val="clear"/>
            <w:vAlign w:val="center"/>
          </w:tcPr>
          <w:p>
            <w:pPr>
              <w:pStyle w:val="TableContents"/>
              <w:bidi w:val="0"/>
              <w:spacing w:before="0" w:after="283"/>
              <w:ind w:left="0" w:right="0" w:hanging="200"/>
              <w:jc w:val="left"/>
              <w:rPr/>
            </w:pPr>
            <w:r>
              <w:rPr/>
              <w:t>)</w:t>
            </w:r>
            <w:bookmarkStart w:id="91" w:name="xdx_40D_eus-gaap--StockholdersEquity_iTI"/>
            <w:bookmarkEnd w:id="91"/>
          </w:p>
        </w:tc>
      </w:tr>
      <w:tr>
        <w:trPr/>
        <w:tc>
          <w:tcPr>
            <w:tcW w:w="7554" w:type="dxa"/>
            <w:tcBorders/>
            <w:shd w:fill="CCEEFF" w:val="clear"/>
            <w:vAlign w:val="center"/>
          </w:tcPr>
          <w:p>
            <w:pPr>
              <w:pStyle w:val="TableContents"/>
              <w:bidi w:val="0"/>
              <w:spacing w:before="0" w:after="283"/>
              <w:jc w:val="left"/>
              <w:rPr/>
            </w:pPr>
            <w:r>
              <w:rPr/>
              <w:t>Total stockholders’ equity (deficit)</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0" w:type="dxa"/>
            <w:tcBorders>
              <w:bottom w:val="single" w:sz="8" w:space="0" w:color="000000"/>
            </w:tcBorders>
            <w:shd w:fill="CCEEFF" w:val="clear"/>
            <w:tcMar>
              <w:bottom w:w="28" w:type="dxa"/>
            </w:tcMar>
            <w:vAlign w:val="center"/>
          </w:tcPr>
          <w:p>
            <w:pPr>
              <w:pStyle w:val="TableContents"/>
              <w:bidi w:val="0"/>
              <w:spacing w:before="0" w:after="283"/>
              <w:jc w:val="right"/>
              <w:rPr/>
            </w:pPr>
            <w:r>
              <w:rPr/>
              <w:t>3,062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96" w:type="dxa"/>
            <w:tcBorders>
              <w:bottom w:val="single" w:sz="8" w:space="0" w:color="000000"/>
            </w:tcBorders>
            <w:shd w:fill="CCEEFF" w:val="clear"/>
            <w:tcMar>
              <w:bottom w:w="28" w:type="dxa"/>
            </w:tcMar>
            <w:vAlign w:val="center"/>
          </w:tcPr>
          <w:p>
            <w:pPr>
              <w:pStyle w:val="TableContents"/>
              <w:bidi w:val="0"/>
              <w:spacing w:before="0" w:after="283"/>
              <w:jc w:val="right"/>
              <w:rPr/>
            </w:pPr>
            <w:r>
              <w:rPr/>
              <w:t>(8,267</w:t>
            </w:r>
          </w:p>
        </w:tc>
        <w:tc>
          <w:tcPr>
            <w:tcW w:w="88" w:type="dxa"/>
            <w:tcBorders/>
            <w:shd w:fill="CCEEFF" w:val="clear"/>
            <w:vAlign w:val="center"/>
          </w:tcPr>
          <w:p>
            <w:pPr>
              <w:pStyle w:val="TableContents"/>
              <w:bidi w:val="0"/>
              <w:spacing w:before="0" w:after="283"/>
              <w:ind w:left="0" w:right="0" w:hanging="200"/>
              <w:jc w:val="left"/>
              <w:rPr/>
            </w:pPr>
            <w:r>
              <w:rPr/>
              <w:t>)</w:t>
            </w:r>
            <w:bookmarkStart w:id="92" w:name="xdx_40B_eus-gaap--LiabilitiesAndStockhol"/>
            <w:bookmarkEnd w:id="92"/>
          </w:p>
        </w:tc>
      </w:tr>
      <w:tr>
        <w:trPr/>
        <w:tc>
          <w:tcPr>
            <w:tcW w:w="7554" w:type="dxa"/>
            <w:tcBorders/>
            <w:shd w:fill="FFFFFF" w:val="clear"/>
            <w:vAlign w:val="center"/>
          </w:tcPr>
          <w:p>
            <w:pPr>
              <w:pStyle w:val="TableContents"/>
              <w:bidi w:val="0"/>
              <w:spacing w:before="0" w:after="283"/>
              <w:jc w:val="left"/>
              <w:rPr/>
            </w:pPr>
            <w:r>
              <w:rPr/>
              <w:t>Total liabilities and stockholders’ equity (deficit)</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0" w:type="dxa"/>
            <w:tcBorders>
              <w:bottom w:val="double" w:sz="6" w:space="0" w:color="000000"/>
            </w:tcBorders>
            <w:shd w:fill="FFFFFF" w:val="clear"/>
            <w:tcMar>
              <w:bottom w:w="28" w:type="dxa"/>
            </w:tcMar>
            <w:vAlign w:val="center"/>
          </w:tcPr>
          <w:p>
            <w:pPr>
              <w:pStyle w:val="TableContents"/>
              <w:bidi w:val="0"/>
              <w:spacing w:before="0" w:after="283"/>
              <w:jc w:val="right"/>
              <w:rPr/>
            </w:pPr>
            <w:r>
              <w:rPr/>
              <w:t>13,344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96" w:type="dxa"/>
            <w:tcBorders>
              <w:bottom w:val="double" w:sz="6" w:space="0" w:color="000000"/>
            </w:tcBorders>
            <w:shd w:fill="FFFFFF" w:val="clear"/>
            <w:tcMar>
              <w:bottom w:w="28" w:type="dxa"/>
            </w:tcMar>
            <w:vAlign w:val="center"/>
          </w:tcPr>
          <w:p>
            <w:pPr>
              <w:pStyle w:val="TableContents"/>
              <w:bidi w:val="0"/>
              <w:spacing w:before="0" w:after="283"/>
              <w:jc w:val="right"/>
              <w:rPr/>
            </w:pPr>
            <w:r>
              <w:rPr/>
              <w:t>2,272</w:t>
            </w:r>
          </w:p>
        </w:tc>
        <w:tc>
          <w:tcPr>
            <w:tcW w:w="8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3" w:name="q2_004"/>
      <w:bookmarkEnd w:id="93"/>
      <w:r>
        <w:rPr>
          <w:rFonts w:ascii="Times New Roman;Times;Serif" w:hAnsi="Times New Roman;Times;Serif"/>
          <w:b/>
          <w:i w:val="false"/>
          <w:caps w:val="false"/>
          <w:smallCaps w:val="false"/>
          <w:sz w:val="20"/>
        </w:rPr>
        <w:t>CONDENSED CONSOLIDATED STATEMENTS OF OPERATIONS AND COMPREHENSIVE INCOME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thousands, except share and per share amounts) </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94" w:name="xdx_309_113_pn3n3_zsAF3b8Y16Xj"/>
      <w:bookmarkStart w:id="95" w:name="xdx_309_113_pn3n3_zsAF3b8Y16Xj"/>
      <w:bookmarkEnd w:id="95"/>
    </w:p>
    <w:tbl>
      <w:tblPr>
        <w:tblW w:w="10205" w:type="dxa"/>
        <w:jc w:val="left"/>
        <w:tblInd w:w="0" w:type="dxa"/>
        <w:tblLayout w:type="fixed"/>
        <w:tblCellMar>
          <w:top w:w="0" w:type="dxa"/>
          <w:left w:w="0" w:type="dxa"/>
          <w:bottom w:w="0" w:type="dxa"/>
          <w:right w:w="0" w:type="dxa"/>
        </w:tblCellMar>
      </w:tblPr>
      <w:tblGrid>
        <w:gridCol w:w="4173"/>
        <w:gridCol w:w="60"/>
        <w:gridCol w:w="148"/>
        <w:gridCol w:w="1294"/>
        <w:gridCol w:w="100"/>
        <w:gridCol w:w="63"/>
        <w:gridCol w:w="148"/>
        <w:gridCol w:w="1166"/>
        <w:gridCol w:w="95"/>
        <w:gridCol w:w="60"/>
        <w:gridCol w:w="141"/>
        <w:gridCol w:w="1233"/>
        <w:gridCol w:w="95"/>
        <w:gridCol w:w="60"/>
        <w:gridCol w:w="141"/>
        <w:gridCol w:w="1112"/>
        <w:gridCol w:w="116"/>
      </w:tblGrid>
      <w:tr>
        <w:trPr/>
        <w:tc>
          <w:tcPr>
            <w:tcW w:w="41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bookmarkStart w:id="96" w:name="xdx_49E_20260401__20260630_zkagtAliX2Hj"/>
            <w:bookmarkEnd w:id="96"/>
          </w:p>
        </w:tc>
        <w:tc>
          <w:tcPr>
            <w:tcW w:w="1442" w:type="dxa"/>
            <w:gridSpan w:val="2"/>
            <w:tcBorders/>
            <w:vAlign w:val="center"/>
          </w:tcPr>
          <w:p>
            <w:pPr>
              <w:pStyle w:val="TableContents"/>
              <w:bidi w:val="0"/>
              <w:spacing w:before="0" w:after="283"/>
              <w:jc w:val="center"/>
              <w:rPr/>
            </w:pPr>
            <w:r>
              <w:rPr/>
              <w:t> </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bookmarkStart w:id="97" w:name="xdx_49D_20250401__20250630_zzqrYX3QzXGk"/>
            <w:bookmarkEnd w:id="97"/>
          </w:p>
        </w:tc>
        <w:tc>
          <w:tcPr>
            <w:tcW w:w="131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8" w:name="xdx_491_20260101__20260630_zqJV03Y338Mk"/>
            <w:bookmarkEnd w:id="98"/>
          </w:p>
        </w:tc>
        <w:tc>
          <w:tcPr>
            <w:tcW w:w="1374"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bookmarkStart w:id="99" w:name="xdx_490_20250101__20250630_zkyaIqSlmSO4"/>
            <w:bookmarkEnd w:id="99"/>
          </w:p>
        </w:tc>
        <w:tc>
          <w:tcPr>
            <w:tcW w:w="1253" w:type="dxa"/>
            <w:gridSpan w:val="2"/>
            <w:tcBorders/>
            <w:vAlign w:val="center"/>
          </w:tcPr>
          <w:p>
            <w:pPr>
              <w:pStyle w:val="TableContents"/>
              <w:bidi w:val="0"/>
              <w:spacing w:before="0" w:after="283"/>
              <w:jc w:val="center"/>
              <w:rPr/>
            </w:pPr>
            <w:r>
              <w:rPr/>
              <w:t> </w:t>
            </w:r>
          </w:p>
        </w:tc>
        <w:tc>
          <w:tcPr>
            <w:tcW w:w="116" w:type="dxa"/>
            <w:tcBorders/>
            <w:vAlign w:val="center"/>
          </w:tcPr>
          <w:p>
            <w:pPr>
              <w:pStyle w:val="TableContents"/>
              <w:bidi w:val="0"/>
              <w:spacing w:before="0" w:after="283"/>
              <w:jc w:val="left"/>
              <w:rPr/>
            </w:pPr>
            <w:r>
              <w:rPr/>
              <w:t> </w:t>
            </w:r>
          </w:p>
        </w:tc>
      </w:tr>
      <w:tr>
        <w:trPr/>
        <w:tc>
          <w:tcPr>
            <w:tcW w:w="41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19"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6" w:type="dxa"/>
            <w:tcBorders/>
            <w:vAlign w:val="center"/>
          </w:tcPr>
          <w:p>
            <w:pPr>
              <w:pStyle w:val="TableContents"/>
              <w:bidi w:val="0"/>
              <w:spacing w:before="0" w:after="283"/>
              <w:jc w:val="left"/>
              <w:rPr/>
            </w:pPr>
            <w:r>
              <w:rPr/>
              <w:t> </w:t>
            </w:r>
          </w:p>
        </w:tc>
      </w:tr>
      <w:tr>
        <w:trPr/>
        <w:tc>
          <w:tcPr>
            <w:tcW w:w="41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6" w:type="dxa"/>
            <w:tcBorders/>
            <w:vAlign w:val="center"/>
          </w:tcPr>
          <w:p>
            <w:pPr>
              <w:pStyle w:val="TableContents"/>
              <w:bidi w:val="0"/>
              <w:spacing w:before="0" w:after="283"/>
              <w:jc w:val="left"/>
              <w:rPr/>
            </w:pPr>
            <w:r>
              <w:rPr/>
              <w:t> </w:t>
            </w:r>
            <w:bookmarkStart w:id="100" w:name="xdx_409_eus-gaap--Revenues_d0_maCz2EO_zJ"/>
            <w:bookmarkEnd w:id="100"/>
          </w:p>
        </w:tc>
      </w:tr>
      <w:tr>
        <w:trPr/>
        <w:tc>
          <w:tcPr>
            <w:tcW w:w="4173"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94" w:type="dxa"/>
            <w:tcBorders/>
            <w:shd w:fill="CCEEFF" w:val="cle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16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bookmarkStart w:id="101" w:name="xdx_409_eus-gaap--CostOfRevenue_d0_msCz2"/>
            <w:bookmarkEnd w:id="101"/>
          </w:p>
        </w:tc>
      </w:tr>
      <w:tr>
        <w:trPr/>
        <w:tc>
          <w:tcPr>
            <w:tcW w:w="4173"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ind w:left="0" w:right="0" w:hanging="200"/>
              <w:jc w:val="left"/>
              <w:rPr/>
            </w:pPr>
            <w:r>
              <w:rPr/>
              <w:t> </w:t>
            </w:r>
            <w:bookmarkStart w:id="102" w:name="xdx_409_eus-gaap--GrossProfit_iT_d0_mtCz"/>
            <w:bookmarkEnd w:id="102"/>
          </w:p>
        </w:tc>
      </w:tr>
      <w:tr>
        <w:trPr/>
        <w:tc>
          <w:tcPr>
            <w:tcW w:w="4173"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jc w:val="left"/>
              <w:rPr/>
            </w:pPr>
            <w:r>
              <w:rPr/>
              <w:t> </w:t>
            </w:r>
            <w:bookmarkStart w:id="103" w:name="xdx_40A_eus-gaap--OperatingExpensesAbstr"/>
            <w:bookmarkEnd w:id="103"/>
          </w:p>
        </w:tc>
      </w:tr>
      <w:tr>
        <w:trPr/>
        <w:tc>
          <w:tcPr>
            <w:tcW w:w="4173"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ind w:left="0" w:right="0" w:hanging="200"/>
              <w:jc w:val="left"/>
              <w:rPr/>
            </w:pPr>
            <w:r>
              <w:rPr/>
              <w:t> </w:t>
            </w:r>
            <w:bookmarkStart w:id="104" w:name="xdx_40B_eus-gaap--SellingAndMarketingExp"/>
            <w:bookmarkEnd w:id="104"/>
          </w:p>
        </w:tc>
      </w:tr>
      <w:tr>
        <w:trPr/>
        <w:tc>
          <w:tcPr>
            <w:tcW w:w="4173"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285</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w:t>
            </w:r>
          </w:p>
        </w:tc>
        <w:tc>
          <w:tcPr>
            <w:tcW w:w="116" w:type="dxa"/>
            <w:tcBorders/>
            <w:shd w:fill="CCEEFF" w:val="clear"/>
            <w:vAlign w:val="center"/>
          </w:tcPr>
          <w:p>
            <w:pPr>
              <w:pStyle w:val="TableContents"/>
              <w:bidi w:val="0"/>
              <w:spacing w:before="0" w:after="283"/>
              <w:ind w:left="0" w:right="0" w:hanging="200"/>
              <w:jc w:val="left"/>
              <w:rPr/>
            </w:pPr>
            <w:r>
              <w:rPr/>
              <w:t> </w:t>
            </w:r>
            <w:bookmarkStart w:id="105" w:name="xdx_405_eus-gaap--ResearchAndDevelopment"/>
            <w:bookmarkEnd w:id="105"/>
          </w:p>
        </w:tc>
      </w:tr>
      <w:tr>
        <w:trPr/>
        <w:tc>
          <w:tcPr>
            <w:tcW w:w="4173"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383</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618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ind w:left="0" w:right="0" w:hanging="200"/>
              <w:jc w:val="left"/>
              <w:rPr/>
            </w:pPr>
            <w:r>
              <w:rPr/>
              <w:t> </w:t>
            </w:r>
            <w:bookmarkStart w:id="106" w:name="xdx_401_eus-gaap--GeneralAndAdministrati"/>
            <w:bookmarkEnd w:id="106"/>
          </w:p>
        </w:tc>
      </w:tr>
      <w:tr>
        <w:trPr/>
        <w:tc>
          <w:tcPr>
            <w:tcW w:w="4173"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CCEEFF" w:val="clear"/>
            <w:tcMar>
              <w:bottom w:w="28" w:type="dxa"/>
            </w:tcMar>
            <w:vAlign w:val="center"/>
          </w:tcPr>
          <w:p>
            <w:pPr>
              <w:pStyle w:val="TableContents"/>
              <w:bidi w:val="0"/>
              <w:spacing w:before="0" w:after="283"/>
              <w:jc w:val="right"/>
              <w:rPr/>
            </w:pPr>
            <w:r>
              <w:rPr/>
              <w:t>959</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584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CCEEFF" w:val="clear"/>
            <w:tcMar>
              <w:bottom w:w="28" w:type="dxa"/>
            </w:tcMar>
            <w:vAlign w:val="center"/>
          </w:tcPr>
          <w:p>
            <w:pPr>
              <w:pStyle w:val="TableContents"/>
              <w:bidi w:val="0"/>
              <w:spacing w:before="0" w:after="283"/>
              <w:jc w:val="right"/>
              <w:rPr/>
            </w:pPr>
            <w:r>
              <w:rPr/>
              <w:t>1,748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1,264</w:t>
            </w:r>
          </w:p>
        </w:tc>
        <w:tc>
          <w:tcPr>
            <w:tcW w:w="116" w:type="dxa"/>
            <w:tcBorders/>
            <w:shd w:fill="CCEEFF" w:val="clear"/>
            <w:vAlign w:val="center"/>
          </w:tcPr>
          <w:p>
            <w:pPr>
              <w:pStyle w:val="TableContents"/>
              <w:bidi w:val="0"/>
              <w:spacing w:before="0" w:after="283"/>
              <w:ind w:left="0" w:right="0" w:hanging="200"/>
              <w:jc w:val="left"/>
              <w:rPr/>
            </w:pPr>
            <w:r>
              <w:rPr/>
              <w:t> </w:t>
            </w:r>
            <w:bookmarkStart w:id="107" w:name="xdx_408_eus-gaap--OperatingExpenses_i01T"/>
            <w:bookmarkEnd w:id="107"/>
          </w:p>
        </w:tc>
      </w:tr>
      <w:tr>
        <w:trPr/>
        <w:tc>
          <w:tcPr>
            <w:tcW w:w="4173"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right"/>
              <w:rPr/>
            </w:pPr>
            <w:r>
              <w:rPr/>
              <w:t>1,627</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584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pPr>
            <w:r>
              <w:rPr/>
              <w:t>2,824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1,264</w:t>
            </w:r>
          </w:p>
        </w:tc>
        <w:tc>
          <w:tcPr>
            <w:tcW w:w="116" w:type="dxa"/>
            <w:tcBorders/>
            <w:shd w:fill="FFFFFF" w:val="clear"/>
            <w:vAlign w:val="center"/>
          </w:tcPr>
          <w:p>
            <w:pPr>
              <w:pStyle w:val="TableContents"/>
              <w:bidi w:val="0"/>
              <w:spacing w:before="0" w:after="283"/>
              <w:jc w:val="left"/>
              <w:rPr/>
            </w:pPr>
            <w:r>
              <w:rPr/>
              <w:t> </w:t>
            </w:r>
            <w:bookmarkStart w:id="108" w:name="xdx_40A_eus-gaap--OperatingIncomeLoss_i0"/>
            <w:bookmarkEnd w:id="108"/>
          </w:p>
        </w:tc>
      </w:tr>
      <w:tr>
        <w:trPr/>
        <w:tc>
          <w:tcPr>
            <w:tcW w:w="4173"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CCEEFF" w:val="clear"/>
            <w:tcMar>
              <w:bottom w:w="28" w:type="dxa"/>
            </w:tcMar>
            <w:vAlign w:val="center"/>
          </w:tcPr>
          <w:p>
            <w:pPr>
              <w:pStyle w:val="TableContents"/>
              <w:bidi w:val="0"/>
              <w:spacing w:before="0" w:after="283"/>
              <w:jc w:val="right"/>
              <w:rPr/>
            </w:pPr>
            <w:r>
              <w:rPr/>
              <w:t>(1,627</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(584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CCEEFF" w:val="clear"/>
            <w:tcMar>
              <w:bottom w:w="28" w:type="dxa"/>
            </w:tcMar>
            <w:vAlign w:val="center"/>
          </w:tcPr>
          <w:p>
            <w:pPr>
              <w:pStyle w:val="TableContents"/>
              <w:bidi w:val="0"/>
              <w:spacing w:before="0" w:after="283"/>
              <w:jc w:val="right"/>
              <w:rPr/>
            </w:pPr>
            <w:r>
              <w:rPr/>
              <w:t>(2,824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(1,264</w:t>
            </w:r>
          </w:p>
        </w:tc>
        <w:tc>
          <w:tcPr>
            <w:tcW w:w="116" w:type="dxa"/>
            <w:tcBorders/>
            <w:shd w:fill="CCEEFF" w:val="clear"/>
            <w:vAlign w:val="center"/>
          </w:tcPr>
          <w:p>
            <w:pPr>
              <w:pStyle w:val="TableContents"/>
              <w:bidi w:val="0"/>
              <w:spacing w:before="0" w:after="283"/>
              <w:jc w:val="left"/>
              <w:rPr/>
            </w:pPr>
            <w:r>
              <w:rPr/>
              <w:t>)</w:t>
            </w:r>
            <w:bookmarkStart w:id="109" w:name="xdx_405_eus-gaap--OtherNonoperatingIncom"/>
            <w:bookmarkEnd w:id="109"/>
          </w:p>
        </w:tc>
      </w:tr>
      <w:tr>
        <w:trPr/>
        <w:tc>
          <w:tcPr>
            <w:tcW w:w="4173"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ind w:left="0" w:right="0" w:hanging="200"/>
              <w:jc w:val="left"/>
              <w:rPr/>
            </w:pPr>
            <w:r>
              <w:rPr/>
              <w:t> </w:t>
            </w:r>
            <w:bookmarkStart w:id="110" w:name="xdx_40D_eus-gaap--InterestExpenseNonoper"/>
            <w:bookmarkEnd w:id="110"/>
          </w:p>
        </w:tc>
      </w:tr>
      <w:tr>
        <w:trPr/>
        <w:tc>
          <w:tcPr>
            <w:tcW w:w="4173"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(229</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(141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(361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(243</w:t>
            </w:r>
          </w:p>
        </w:tc>
        <w:tc>
          <w:tcPr>
            <w:tcW w:w="116" w:type="dxa"/>
            <w:tcBorders/>
            <w:shd w:fill="CCEEFF" w:val="clear"/>
            <w:vAlign w:val="center"/>
          </w:tcPr>
          <w:p>
            <w:pPr>
              <w:pStyle w:val="TableContents"/>
              <w:bidi w:val="0"/>
              <w:spacing w:before="0" w:after="283"/>
              <w:ind w:left="0" w:right="0" w:hanging="200"/>
              <w:jc w:val="left"/>
              <w:rPr/>
            </w:pPr>
            <w:r>
              <w:rPr/>
              <w:t>)</w:t>
            </w:r>
            <w:bookmarkStart w:id="111" w:name="xdx_405_ecustom--GainsLossesOnExtingushm"/>
            <w:bookmarkEnd w:id="111"/>
          </w:p>
        </w:tc>
      </w:tr>
      <w:tr>
        <w:trPr/>
        <w:tc>
          <w:tcPr>
            <w:tcW w:w="4173" w:type="dxa"/>
            <w:tcBorders/>
            <w:shd w:fill="FFFFFF" w:val="clear"/>
            <w:vAlign w:val="center"/>
          </w:tcPr>
          <w:p>
            <w:pPr>
              <w:pStyle w:val="TableContents"/>
              <w:bidi w:val="0"/>
              <w:spacing w:before="0" w:after="283"/>
              <w:jc w:val="left"/>
              <w:rPr/>
            </w:pPr>
            <w:r>
              <w:rPr/>
              <w:t>Loss on extinguishment of senior secured note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(134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(134</w:t>
            </w:r>
          </w:p>
        </w:tc>
        <w:tc>
          <w:tcPr>
            <w:tcW w:w="116" w:type="dxa"/>
            <w:tcBorders/>
            <w:shd w:fill="FFFFFF" w:val="clear"/>
            <w:vAlign w:val="center"/>
          </w:tcPr>
          <w:p>
            <w:pPr>
              <w:pStyle w:val="TableContents"/>
              <w:bidi w:val="0"/>
              <w:spacing w:before="0" w:after="283"/>
              <w:ind w:left="0" w:right="0" w:hanging="200"/>
              <w:jc w:val="left"/>
              <w:rPr/>
            </w:pPr>
            <w:r>
              <w:rPr/>
              <w:t>)</w:t>
            </w:r>
            <w:bookmarkStart w:id="112" w:name="xdx_400_ecustom--GainLossOnExtinguishmen"/>
            <w:bookmarkEnd w:id="112"/>
          </w:p>
        </w:tc>
      </w:tr>
      <w:tr>
        <w:trPr/>
        <w:tc>
          <w:tcPr>
            <w:tcW w:w="4173" w:type="dxa"/>
            <w:tcBorders/>
            <w:shd w:fill="CCEEFF" w:val="clear"/>
            <w:vAlign w:val="center"/>
          </w:tcPr>
          <w:p>
            <w:pPr>
              <w:pStyle w:val="TableContents"/>
              <w:bidi w:val="0"/>
              <w:spacing w:before="0" w:after="283"/>
              <w:jc w:val="left"/>
              <w:rPr/>
            </w:pPr>
            <w:r>
              <w:rPr/>
              <w:t>Gain on extinguishment of forward purchase agreement settlement liability</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2,357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2,357</w:t>
            </w:r>
          </w:p>
        </w:tc>
        <w:tc>
          <w:tcPr>
            <w:tcW w:w="116" w:type="dxa"/>
            <w:tcBorders/>
            <w:shd w:fill="CCEEFF" w:val="clear"/>
            <w:vAlign w:val="center"/>
          </w:tcPr>
          <w:p>
            <w:pPr>
              <w:pStyle w:val="TableContents"/>
              <w:bidi w:val="0"/>
              <w:spacing w:before="0" w:after="283"/>
              <w:ind w:left="0" w:right="0" w:hanging="200"/>
              <w:jc w:val="left"/>
              <w:rPr/>
            </w:pPr>
            <w:r>
              <w:rPr/>
              <w:t> </w:t>
            </w:r>
            <w:bookmarkStart w:id="113" w:name="xdx_40B_eus-gaap--GainsLossesOnExtinguis"/>
            <w:bookmarkEnd w:id="113"/>
          </w:p>
        </w:tc>
      </w:tr>
      <w:tr>
        <w:trPr/>
        <w:tc>
          <w:tcPr>
            <w:tcW w:w="4173" w:type="dxa"/>
            <w:tcBorders/>
            <w:shd w:fill="FFFFFF" w:val="clear"/>
            <w:vAlign w:val="center"/>
          </w:tcPr>
          <w:p>
            <w:pPr>
              <w:pStyle w:val="TableContents"/>
              <w:bidi w:val="0"/>
              <w:spacing w:before="0" w:after="283"/>
              <w:jc w:val="left"/>
              <w:rPr/>
            </w:pPr>
            <w:r>
              <w:rPr/>
              <w:t>Gain on extinguishment of liabilities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1,197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1,197</w:t>
            </w:r>
          </w:p>
        </w:tc>
        <w:tc>
          <w:tcPr>
            <w:tcW w:w="116" w:type="dxa"/>
            <w:tcBorders/>
            <w:shd w:fill="FFFFFF" w:val="clear"/>
            <w:vAlign w:val="center"/>
          </w:tcPr>
          <w:p>
            <w:pPr>
              <w:pStyle w:val="TableContents"/>
              <w:bidi w:val="0"/>
              <w:spacing w:before="0" w:after="283"/>
              <w:ind w:left="0" w:right="0" w:hanging="200"/>
              <w:jc w:val="left"/>
              <w:rPr/>
            </w:pPr>
            <w:r>
              <w:rPr/>
              <w:t> </w:t>
            </w:r>
            <w:bookmarkStart w:id="114" w:name="xdx_400_eus-gaap--OtherIncome_i01_maCzpJ"/>
            <w:bookmarkEnd w:id="114"/>
          </w:p>
        </w:tc>
      </w:tr>
      <w:tr>
        <w:trPr/>
        <w:tc>
          <w:tcPr>
            <w:tcW w:w="4173" w:type="dxa"/>
            <w:tcBorders/>
            <w:shd w:fill="CCEEFF" w:val="clear"/>
            <w:vAlign w:val="center"/>
          </w:tcPr>
          <w:p>
            <w:pPr>
              <w:pStyle w:val="TableContents"/>
              <w:bidi w:val="0"/>
              <w:spacing w:before="0" w:after="283"/>
              <w:jc w:val="left"/>
              <w:rPr/>
            </w:pPr>
            <w:r>
              <w:rPr/>
              <w:t>Other income</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CCEEFF" w:val="clear"/>
            <w:tcMar>
              <w:bottom w:w="28" w:type="dxa"/>
            </w:tcMar>
            <w:vAlign w:val="center"/>
          </w:tcPr>
          <w:p>
            <w:pPr>
              <w:pStyle w:val="TableContents"/>
              <w:bidi w:val="0"/>
              <w:spacing w:before="0" w:after="283"/>
              <w:jc w:val="right"/>
              <w:rPr/>
            </w:pPr>
            <w:r>
              <w:rPr/>
              <w:t>21</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CCEEFF" w:val="clear"/>
            <w:tcMar>
              <w:bottom w:w="28" w:type="dxa"/>
            </w:tcMar>
            <w:vAlign w:val="center"/>
          </w:tcPr>
          <w:p>
            <w:pPr>
              <w:pStyle w:val="TableContents"/>
              <w:bidi w:val="0"/>
              <w:spacing w:before="0" w:after="283"/>
              <w:jc w:val="right"/>
              <w:rPr/>
            </w:pPr>
            <w:r>
              <w:rPr/>
              <w:t>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17</w:t>
            </w:r>
          </w:p>
        </w:tc>
        <w:tc>
          <w:tcPr>
            <w:tcW w:w="116" w:type="dxa"/>
            <w:tcBorders/>
            <w:shd w:fill="CCEEFF" w:val="clear"/>
            <w:vAlign w:val="center"/>
          </w:tcPr>
          <w:p>
            <w:pPr>
              <w:pStyle w:val="TableContents"/>
              <w:bidi w:val="0"/>
              <w:spacing w:before="0" w:after="283"/>
              <w:ind w:left="0" w:right="0" w:hanging="200"/>
              <w:jc w:val="left"/>
              <w:rPr/>
            </w:pPr>
            <w:r>
              <w:rPr/>
              <w:t> </w:t>
            </w:r>
            <w:bookmarkStart w:id="115" w:name="xdx_408_eus-gaap--NonoperatingIncomeExpe"/>
            <w:bookmarkEnd w:id="115"/>
          </w:p>
        </w:tc>
      </w:tr>
      <w:tr>
        <w:trPr/>
        <w:tc>
          <w:tcPr>
            <w:tcW w:w="4173"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right"/>
              <w:rPr/>
            </w:pPr>
            <w:r>
              <w:rPr/>
              <w:t>(208</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3,284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pPr>
            <w:r>
              <w:rPr/>
              <w:t>(321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3,194</w:t>
            </w:r>
          </w:p>
        </w:tc>
        <w:tc>
          <w:tcPr>
            <w:tcW w:w="116" w:type="dxa"/>
            <w:tcBorders/>
            <w:shd w:fill="FFFFFF" w:val="clear"/>
            <w:vAlign w:val="center"/>
          </w:tcPr>
          <w:p>
            <w:pPr>
              <w:pStyle w:val="TableContents"/>
              <w:bidi w:val="0"/>
              <w:spacing w:before="0" w:after="283"/>
              <w:jc w:val="left"/>
              <w:rPr/>
            </w:pPr>
            <w:r>
              <w:rPr/>
              <w:t> </w:t>
            </w:r>
            <w:bookmarkStart w:id="116" w:name="xdx_406_eus-gaap--NetIncomeLoss_iT_maNIL"/>
            <w:bookmarkEnd w:id="116"/>
          </w:p>
        </w:tc>
      </w:tr>
      <w:tr>
        <w:trPr/>
        <w:tc>
          <w:tcPr>
            <w:tcW w:w="4173"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4" w:type="dxa"/>
            <w:tcBorders>
              <w:bottom w:val="double" w:sz="6" w:space="0" w:color="000000"/>
            </w:tcBorders>
            <w:shd w:fill="CCEEFF" w:val="clear"/>
            <w:tcMar>
              <w:bottom w:w="28" w:type="dxa"/>
            </w:tcMar>
            <w:vAlign w:val="center"/>
          </w:tcPr>
          <w:p>
            <w:pPr>
              <w:pStyle w:val="TableContents"/>
              <w:bidi w:val="0"/>
              <w:spacing w:before="0" w:after="283"/>
              <w:jc w:val="right"/>
              <w:rPr/>
            </w:pPr>
            <w:r>
              <w:rPr/>
              <w:t>(1,835</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6" w:space="0" w:color="000000"/>
            </w:tcBorders>
            <w:shd w:fill="CCEEFF" w:val="clear"/>
            <w:tcMar>
              <w:bottom w:w="28" w:type="dxa"/>
            </w:tcMar>
            <w:vAlign w:val="center"/>
          </w:tcPr>
          <w:p>
            <w:pPr>
              <w:pStyle w:val="TableContents"/>
              <w:bidi w:val="0"/>
              <w:spacing w:before="0" w:after="283"/>
              <w:jc w:val="right"/>
              <w:rPr/>
            </w:pPr>
            <w:r>
              <w:rPr/>
              <w:t>2,700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double" w:sz="6" w:space="0" w:color="000000"/>
            </w:tcBorders>
            <w:shd w:fill="CCEEFF" w:val="clear"/>
            <w:tcMar>
              <w:bottom w:w="28" w:type="dxa"/>
            </w:tcMar>
            <w:vAlign w:val="center"/>
          </w:tcPr>
          <w:p>
            <w:pPr>
              <w:pStyle w:val="TableContents"/>
              <w:bidi w:val="0"/>
              <w:spacing w:before="0" w:after="283"/>
              <w:jc w:val="right"/>
              <w:rPr/>
            </w:pPr>
            <w:r>
              <w:rPr/>
              <w:t>(3,145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pPr>
            <w:r>
              <w:rPr/>
              <w:t>1,930</w:t>
            </w:r>
          </w:p>
        </w:tc>
        <w:tc>
          <w:tcPr>
            <w:tcW w:w="116" w:type="dxa"/>
            <w:tcBorders/>
            <w:shd w:fill="CCEEFF" w:val="clear"/>
            <w:vAlign w:val="center"/>
          </w:tcPr>
          <w:p>
            <w:pPr>
              <w:pStyle w:val="TableContents"/>
              <w:bidi w:val="0"/>
              <w:spacing w:before="0" w:after="283"/>
              <w:jc w:val="left"/>
              <w:rPr/>
            </w:pPr>
            <w:r>
              <w:rPr/>
              <w:t> </w:t>
            </w:r>
            <w:bookmarkStart w:id="117" w:name="xdx_405_eus-gaap--DividendsPreferredStoc"/>
            <w:bookmarkEnd w:id="117"/>
          </w:p>
        </w:tc>
      </w:tr>
      <w:tr>
        <w:trPr/>
        <w:tc>
          <w:tcPr>
            <w:tcW w:w="4173" w:type="dxa"/>
            <w:tcBorders/>
            <w:shd w:fill="FFFFFF" w:val="clear"/>
            <w:vAlign w:val="center"/>
          </w:tcPr>
          <w:p>
            <w:pPr>
              <w:pStyle w:val="TableContents"/>
              <w:bidi w:val="0"/>
              <w:spacing w:before="0" w:after="283"/>
              <w:jc w:val="left"/>
              <w:rPr/>
            </w:pPr>
            <w:r>
              <w:rPr/>
              <w:t>Series D preferred stock capitalized dividend</w:t>
            </w:r>
          </w:p>
        </w:tc>
        <w:tc>
          <w:tcPr>
            <w:tcW w:w="60"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FFFFFF" w:val="clear"/>
            <w:tcMar>
              <w:bottom w:w="28" w:type="dxa"/>
            </w:tcMar>
            <w:vAlign w:val="center"/>
          </w:tcPr>
          <w:p>
            <w:pPr>
              <w:pStyle w:val="TableContents"/>
              <w:bidi w:val="0"/>
              <w:spacing w:before="0" w:after="283"/>
              <w:jc w:val="right"/>
              <w:rPr/>
            </w:pPr>
            <w:r>
              <w:rPr/>
              <w:t>(227</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FFFFFF" w:val="clear"/>
            <w:tcMar>
              <w:bottom w:w="28" w:type="dxa"/>
            </w:tcMar>
            <w:vAlign w:val="center"/>
          </w:tcPr>
          <w:p>
            <w:pPr>
              <w:pStyle w:val="TableContents"/>
              <w:bidi w:val="0"/>
              <w:spacing w:before="0" w:after="283"/>
              <w:jc w:val="right"/>
              <w:rPr/>
            </w:pPr>
            <w:r>
              <w:rPr/>
              <w:t>(227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6" w:type="dxa"/>
            <w:tcBorders/>
            <w:shd w:fill="FFFFFF" w:val="clear"/>
            <w:vAlign w:val="center"/>
          </w:tcPr>
          <w:p>
            <w:pPr>
              <w:pStyle w:val="TableContents"/>
              <w:bidi w:val="0"/>
              <w:spacing w:before="0" w:after="283"/>
              <w:jc w:val="left"/>
              <w:rPr/>
            </w:pPr>
            <w:r>
              <w:rPr/>
              <w:t> </w:t>
            </w:r>
            <w:bookmarkStart w:id="118" w:name="xdx_402_eus-gaap--NetIncomeLossAvailable"/>
            <w:bookmarkEnd w:id="118"/>
          </w:p>
        </w:tc>
      </w:tr>
      <w:tr>
        <w:trPr/>
        <w:tc>
          <w:tcPr>
            <w:tcW w:w="4173" w:type="dxa"/>
            <w:tcBorders/>
            <w:shd w:fill="CCEEFF" w:val="clear"/>
            <w:vAlign w:val="center"/>
          </w:tcPr>
          <w:p>
            <w:pPr>
              <w:pStyle w:val="TableContents"/>
              <w:bidi w:val="0"/>
              <w:spacing w:before="0" w:after="283"/>
              <w:jc w:val="left"/>
              <w:rPr/>
            </w:pPr>
            <w:r>
              <w:rPr/>
              <w:t>Net income (loss) attributable to common stockholders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4" w:type="dxa"/>
            <w:tcBorders>
              <w:bottom w:val="double" w:sz="6" w:space="0" w:color="000000"/>
            </w:tcBorders>
            <w:shd w:fill="CCEEFF" w:val="clear"/>
            <w:tcMar>
              <w:bottom w:w="28" w:type="dxa"/>
            </w:tcMar>
            <w:vAlign w:val="center"/>
          </w:tcPr>
          <w:p>
            <w:pPr>
              <w:pStyle w:val="TableContents"/>
              <w:bidi w:val="0"/>
              <w:spacing w:before="0" w:after="283"/>
              <w:jc w:val="right"/>
              <w:rPr/>
            </w:pPr>
            <w:r>
              <w:rPr/>
              <w:t>(2,062</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6" w:space="0" w:color="000000"/>
            </w:tcBorders>
            <w:shd w:fill="CCEEFF" w:val="clear"/>
            <w:tcMar>
              <w:bottom w:w="28" w:type="dxa"/>
            </w:tcMar>
            <w:vAlign w:val="center"/>
          </w:tcPr>
          <w:p>
            <w:pPr>
              <w:pStyle w:val="TableContents"/>
              <w:bidi w:val="0"/>
              <w:spacing w:before="0" w:after="283"/>
              <w:jc w:val="right"/>
              <w:rPr/>
            </w:pPr>
            <w:r>
              <w:rPr/>
              <w:t>2,700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double" w:sz="6" w:space="0" w:color="000000"/>
            </w:tcBorders>
            <w:shd w:fill="CCEEFF" w:val="clear"/>
            <w:tcMar>
              <w:bottom w:w="28" w:type="dxa"/>
            </w:tcMar>
            <w:vAlign w:val="center"/>
          </w:tcPr>
          <w:p>
            <w:pPr>
              <w:pStyle w:val="TableContents"/>
              <w:bidi w:val="0"/>
              <w:spacing w:before="0" w:after="283"/>
              <w:jc w:val="right"/>
              <w:rPr/>
            </w:pPr>
            <w:r>
              <w:rPr/>
              <w:t>(3,372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pPr>
            <w:r>
              <w:rPr/>
              <w:t>1,930</w:t>
            </w:r>
          </w:p>
        </w:tc>
        <w:tc>
          <w:tcPr>
            <w:tcW w:w="116" w:type="dxa"/>
            <w:tcBorders/>
            <w:shd w:fill="CCEEFF" w:val="clear"/>
            <w:vAlign w:val="center"/>
          </w:tcPr>
          <w:p>
            <w:pPr>
              <w:pStyle w:val="TableContents"/>
              <w:bidi w:val="0"/>
              <w:spacing w:before="0" w:after="283"/>
              <w:jc w:val="left"/>
              <w:rPr/>
            </w:pPr>
            <w:r>
              <w:rPr/>
              <w:t> </w:t>
            </w:r>
          </w:p>
        </w:tc>
      </w:tr>
      <w:tr>
        <w:trPr/>
        <w:tc>
          <w:tcPr>
            <w:tcW w:w="41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4"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6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3"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 </w:t>
            </w:r>
          </w:p>
        </w:tc>
        <w:tc>
          <w:tcPr>
            <w:tcW w:w="116" w:type="dxa"/>
            <w:tcBorders/>
            <w:shd w:fill="FFFFFF" w:val="clear"/>
            <w:vAlign w:val="center"/>
          </w:tcPr>
          <w:p>
            <w:pPr>
              <w:pStyle w:val="TableContents"/>
              <w:bidi w:val="0"/>
              <w:spacing w:before="0" w:after="283"/>
              <w:ind w:left="0" w:right="0" w:hanging="200"/>
              <w:jc w:val="left"/>
              <w:rPr/>
            </w:pPr>
            <w:r>
              <w:rPr/>
              <w:t> </w:t>
            </w:r>
            <w:bookmarkStart w:id="119" w:name="xdx_407_eus-gaap--EarningsPerShareBasic_"/>
            <w:bookmarkEnd w:id="119"/>
          </w:p>
        </w:tc>
      </w:tr>
      <w:tr>
        <w:trPr/>
        <w:tc>
          <w:tcPr>
            <w:tcW w:w="4173" w:type="dxa"/>
            <w:tcBorders/>
            <w:shd w:fill="CCEEFF" w:val="clear"/>
            <w:vAlign w:val="center"/>
          </w:tcPr>
          <w:p>
            <w:pPr>
              <w:pStyle w:val="TableContents"/>
              <w:bidi w:val="0"/>
              <w:spacing w:before="0" w:after="283"/>
              <w:jc w:val="left"/>
              <w:rPr/>
            </w:pPr>
            <w:r>
              <w:rPr/>
              <w:t>Net income (loss) per share attributable to common stockholders, basic</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94" w:type="dxa"/>
            <w:tcBorders>
              <w:bottom w:val="double" w:sz="6" w:space="0" w:color="000000"/>
            </w:tcBorders>
            <w:shd w:fill="CCEEFF" w:val="clear"/>
            <w:tcMar>
              <w:bottom w:w="28" w:type="dxa"/>
            </w:tcMar>
            <w:vAlign w:val="center"/>
          </w:tcPr>
          <w:p>
            <w:pPr>
              <w:pStyle w:val="TableContents"/>
              <w:bidi w:val="0"/>
              <w:spacing w:before="0" w:after="283"/>
              <w:jc w:val="right"/>
              <w:rPr/>
            </w:pPr>
            <w:r>
              <w:rPr/>
              <w:t>(0.01</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6" w:type="dxa"/>
            <w:tcBorders>
              <w:bottom w:val="double" w:sz="6" w:space="0" w:color="000000"/>
            </w:tcBorders>
            <w:shd w:fill="CCEEFF" w:val="clear"/>
            <w:tcMar>
              <w:bottom w:w="28" w:type="dxa"/>
            </w:tcM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33" w:type="dxa"/>
            <w:tcBorders>
              <w:bottom w:val="double" w:sz="6" w:space="0" w:color="000000"/>
            </w:tcBorders>
            <w:shd w:fill="CCEEFF" w:val="clear"/>
            <w:tcMar>
              <w:bottom w:w="28" w:type="dxa"/>
            </w:tcMar>
            <w:vAlign w:val="center"/>
          </w:tcPr>
          <w:p>
            <w:pPr>
              <w:pStyle w:val="TableContents"/>
              <w:bidi w:val="0"/>
              <w:spacing w:before="0" w:after="283"/>
              <w:jc w:val="right"/>
              <w:rPr/>
            </w:pPr>
            <w:r>
              <w:rPr/>
              <w:t>(0.02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pPr>
            <w:r>
              <w:rPr/>
              <w:t>0.04</w:t>
            </w:r>
          </w:p>
        </w:tc>
        <w:tc>
          <w:tcPr>
            <w:tcW w:w="116" w:type="dxa"/>
            <w:tcBorders/>
            <w:shd w:fill="CCEEFF" w:val="clear"/>
            <w:vAlign w:val="center"/>
          </w:tcPr>
          <w:p>
            <w:pPr>
              <w:pStyle w:val="TableContents"/>
              <w:bidi w:val="0"/>
              <w:spacing w:before="0" w:after="283"/>
              <w:ind w:left="0" w:right="0" w:hanging="200"/>
              <w:jc w:val="left"/>
              <w:rPr/>
            </w:pPr>
            <w:r>
              <w:rPr/>
              <w:t> </w:t>
            </w:r>
            <w:bookmarkStart w:id="120" w:name="xdx_406_eus-gaap--EarningsPerShareDilute"/>
            <w:bookmarkEnd w:id="120"/>
          </w:p>
        </w:tc>
      </w:tr>
      <w:tr>
        <w:trPr/>
        <w:tc>
          <w:tcPr>
            <w:tcW w:w="4173" w:type="dxa"/>
            <w:tcBorders/>
            <w:shd w:fill="FFFFFF" w:val="clear"/>
            <w:vAlign w:val="center"/>
          </w:tcPr>
          <w:p>
            <w:pPr>
              <w:pStyle w:val="TableContents"/>
              <w:bidi w:val="0"/>
              <w:spacing w:before="0" w:after="283"/>
              <w:jc w:val="left"/>
              <w:rPr/>
            </w:pPr>
            <w:r>
              <w:rPr/>
              <w:t>Net income (loss) per share attributable to common stockholders, diluted</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4" w:type="dxa"/>
            <w:tcBorders>
              <w:bottom w:val="double" w:sz="6" w:space="0" w:color="000000"/>
            </w:tcBorders>
            <w:shd w:fill="FFFFFF" w:val="clear"/>
            <w:tcMar>
              <w:bottom w:w="28" w:type="dxa"/>
            </w:tcMar>
            <w:vAlign w:val="center"/>
          </w:tcPr>
          <w:p>
            <w:pPr>
              <w:pStyle w:val="TableContents"/>
              <w:bidi w:val="0"/>
              <w:spacing w:before="0" w:after="283"/>
              <w:jc w:val="right"/>
              <w:rPr/>
            </w:pPr>
            <w:r>
              <w:rPr/>
              <w:t>(0.01</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6" w:type="dxa"/>
            <w:tcBorders>
              <w:bottom w:val="double" w:sz="6" w:space="0" w:color="000000"/>
            </w:tcBorders>
            <w:shd w:fill="FFFFFF" w:val="clear"/>
            <w:tcMar>
              <w:bottom w:w="28" w:type="dxa"/>
            </w:tcMar>
            <w:vAlign w:val="center"/>
          </w:tcPr>
          <w:p>
            <w:pPr>
              <w:pStyle w:val="TableContents"/>
              <w:bidi w:val="0"/>
              <w:spacing w:before="0" w:after="283"/>
              <w:jc w:val="right"/>
              <w:rPr/>
            </w:pPr>
            <w:r>
              <w:rPr/>
              <w:t>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3" w:type="dxa"/>
            <w:tcBorders>
              <w:bottom w:val="double" w:sz="6" w:space="0" w:color="000000"/>
            </w:tcBorders>
            <w:shd w:fill="FFFFFF" w:val="clear"/>
            <w:tcMar>
              <w:bottom w:w="28" w:type="dxa"/>
            </w:tcMar>
            <w:vAlign w:val="center"/>
          </w:tcPr>
          <w:p>
            <w:pPr>
              <w:pStyle w:val="TableContents"/>
              <w:bidi w:val="0"/>
              <w:spacing w:before="0" w:after="283"/>
              <w:jc w:val="right"/>
              <w:rPr/>
            </w:pPr>
            <w:r>
              <w:rPr/>
              <w:t>(0.02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FFFFFF" w:val="clear"/>
            <w:tcMar>
              <w:bottom w:w="28" w:type="dxa"/>
            </w:tcMar>
            <w:vAlign w:val="center"/>
          </w:tcPr>
          <w:p>
            <w:pPr>
              <w:pStyle w:val="TableContents"/>
              <w:bidi w:val="0"/>
              <w:spacing w:before="0" w:after="283"/>
              <w:jc w:val="right"/>
              <w:rPr/>
            </w:pPr>
            <w:r>
              <w:rPr/>
              <w:t>0.03</w:t>
            </w:r>
          </w:p>
        </w:tc>
        <w:tc>
          <w:tcPr>
            <w:tcW w:w="116" w:type="dxa"/>
            <w:tcBorders/>
            <w:shd w:fill="FFFFFF" w:val="clear"/>
            <w:vAlign w:val="center"/>
          </w:tcPr>
          <w:p>
            <w:pPr>
              <w:pStyle w:val="TableContents"/>
              <w:bidi w:val="0"/>
              <w:spacing w:before="0" w:after="283"/>
              <w:ind w:left="0" w:right="0" w:hanging="200"/>
              <w:jc w:val="left"/>
              <w:rPr/>
            </w:pPr>
            <w:r>
              <w:rPr/>
              <w:t> </w:t>
            </w:r>
            <w:bookmarkStart w:id="121" w:name="xdx_401_eus-gaap--WeightedAverageNumberO"/>
            <w:bookmarkEnd w:id="121"/>
          </w:p>
        </w:tc>
      </w:tr>
      <w:tr>
        <w:trPr/>
        <w:tc>
          <w:tcPr>
            <w:tcW w:w="4173" w:type="dxa"/>
            <w:tcBorders/>
            <w:shd w:fill="CCEEFF" w:val="clear"/>
            <w:vAlign w:val="center"/>
          </w:tcPr>
          <w:p>
            <w:pPr>
              <w:pStyle w:val="TableContents"/>
              <w:bidi w:val="0"/>
              <w:spacing w:before="0" w:after="283"/>
              <w:jc w:val="left"/>
              <w:rPr/>
            </w:pPr>
            <w:r>
              <w:rPr/>
              <w:t>Weighted-average common shares outstanding, basic</w:t>
            </w:r>
          </w:p>
        </w:tc>
        <w:tc>
          <w:tcPr>
            <w:tcW w:w="60"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double" w:sz="6" w:space="0" w:color="000000"/>
            </w:tcBorders>
            <w:shd w:fill="CCEEFF" w:val="clear"/>
            <w:tcMar>
              <w:bottom w:w="28" w:type="dxa"/>
            </w:tcMar>
            <w:vAlign w:val="center"/>
          </w:tcPr>
          <w:p>
            <w:pPr>
              <w:pStyle w:val="TableContents"/>
              <w:bidi w:val="0"/>
              <w:spacing w:before="0" w:after="283"/>
              <w:jc w:val="right"/>
              <w:rPr/>
            </w:pPr>
            <w:r>
              <w:rPr/>
              <w:t>186,174,045</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double" w:sz="6" w:space="0" w:color="000000"/>
            </w:tcBorders>
            <w:shd w:fill="CCEEFF" w:val="clear"/>
            <w:tcMar>
              <w:bottom w:w="28" w:type="dxa"/>
            </w:tcMar>
            <w:vAlign w:val="center"/>
          </w:tcPr>
          <w:p>
            <w:pPr>
              <w:pStyle w:val="TableContents"/>
              <w:bidi w:val="0"/>
              <w:spacing w:before="0" w:after="283"/>
              <w:jc w:val="right"/>
              <w:rPr/>
            </w:pPr>
            <w:r>
              <w:rPr/>
              <w:t>51,776,206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double" w:sz="6" w:space="0" w:color="000000"/>
            </w:tcBorders>
            <w:shd w:fill="CCEEFF" w:val="clear"/>
            <w:tcMar>
              <w:bottom w:w="28" w:type="dxa"/>
            </w:tcMar>
            <w:vAlign w:val="center"/>
          </w:tcPr>
          <w:p>
            <w:pPr>
              <w:pStyle w:val="TableContents"/>
              <w:bidi w:val="0"/>
              <w:spacing w:before="0" w:after="283"/>
              <w:jc w:val="right"/>
              <w:rPr/>
            </w:pPr>
            <w:r>
              <w:rPr/>
              <w:t>179,284,550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double" w:sz="6" w:space="0" w:color="000000"/>
            </w:tcBorders>
            <w:shd w:fill="CCEEFF" w:val="clear"/>
            <w:tcMar>
              <w:bottom w:w="28" w:type="dxa"/>
            </w:tcMar>
            <w:vAlign w:val="center"/>
          </w:tcPr>
          <w:p>
            <w:pPr>
              <w:pStyle w:val="TableContents"/>
              <w:bidi w:val="0"/>
              <w:spacing w:before="0" w:after="283"/>
              <w:jc w:val="right"/>
              <w:rPr/>
            </w:pPr>
            <w:r>
              <w:rPr/>
              <w:t>47,154,964</w:t>
            </w:r>
          </w:p>
        </w:tc>
        <w:tc>
          <w:tcPr>
            <w:tcW w:w="116" w:type="dxa"/>
            <w:tcBorders/>
            <w:shd w:fill="CCEEFF" w:val="clear"/>
            <w:vAlign w:val="center"/>
          </w:tcPr>
          <w:p>
            <w:pPr>
              <w:pStyle w:val="TableContents"/>
              <w:bidi w:val="0"/>
              <w:spacing w:before="0" w:after="283"/>
              <w:ind w:left="0" w:right="0" w:hanging="200"/>
              <w:jc w:val="left"/>
              <w:rPr/>
            </w:pPr>
            <w:r>
              <w:rPr/>
              <w:t> </w:t>
            </w:r>
            <w:bookmarkStart w:id="122" w:name="xdx_406_eus-gaap--WeightedAverageNumberO"/>
            <w:bookmarkEnd w:id="122"/>
          </w:p>
        </w:tc>
      </w:tr>
      <w:tr>
        <w:trPr/>
        <w:tc>
          <w:tcPr>
            <w:tcW w:w="4173" w:type="dxa"/>
            <w:tcBorders/>
            <w:shd w:fill="FFFFFF" w:val="clear"/>
            <w:vAlign w:val="center"/>
          </w:tcPr>
          <w:p>
            <w:pPr>
              <w:pStyle w:val="TableContents"/>
              <w:bidi w:val="0"/>
              <w:spacing w:before="0" w:after="283"/>
              <w:jc w:val="left"/>
              <w:rPr/>
            </w:pPr>
            <w:r>
              <w:rPr/>
              <w:t>Weighted-average common shares outstanding, diluted</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94" w:type="dxa"/>
            <w:tcBorders>
              <w:bottom w:val="double" w:sz="6" w:space="0" w:color="000000"/>
            </w:tcBorders>
            <w:shd w:fill="FFFFFF" w:val="clear"/>
            <w:tcMar>
              <w:bottom w:w="28" w:type="dxa"/>
            </w:tcMar>
            <w:vAlign w:val="center"/>
          </w:tcPr>
          <w:p>
            <w:pPr>
              <w:pStyle w:val="TableContents"/>
              <w:bidi w:val="0"/>
              <w:spacing w:before="0" w:after="283"/>
              <w:jc w:val="right"/>
              <w:rPr/>
            </w:pPr>
            <w:r>
              <w:rPr/>
              <w:t>186,174,045</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66" w:type="dxa"/>
            <w:tcBorders>
              <w:bottom w:val="double" w:sz="6" w:space="0" w:color="000000"/>
            </w:tcBorders>
            <w:shd w:fill="FFFFFF" w:val="clear"/>
            <w:tcMar>
              <w:bottom w:w="28" w:type="dxa"/>
            </w:tcMar>
            <w:vAlign w:val="center"/>
          </w:tcPr>
          <w:p>
            <w:pPr>
              <w:pStyle w:val="TableContents"/>
              <w:bidi w:val="0"/>
              <w:spacing w:before="0" w:after="283"/>
              <w:jc w:val="right"/>
              <w:rPr/>
            </w:pPr>
            <w:r>
              <w:rPr/>
              <w:t>66,276,206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33" w:type="dxa"/>
            <w:tcBorders>
              <w:bottom w:val="double" w:sz="6" w:space="0" w:color="000000"/>
            </w:tcBorders>
            <w:shd w:fill="FFFFFF" w:val="clear"/>
            <w:tcMar>
              <w:bottom w:w="28" w:type="dxa"/>
            </w:tcMar>
            <w:vAlign w:val="center"/>
          </w:tcPr>
          <w:p>
            <w:pPr>
              <w:pStyle w:val="TableContents"/>
              <w:bidi w:val="0"/>
              <w:spacing w:before="0" w:after="283"/>
              <w:jc w:val="right"/>
              <w:rPr/>
            </w:pPr>
            <w:r>
              <w:rPr/>
              <w:t>179,284,550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12" w:type="dxa"/>
            <w:tcBorders>
              <w:bottom w:val="double" w:sz="6" w:space="0" w:color="000000"/>
            </w:tcBorders>
            <w:shd w:fill="FFFFFF" w:val="clear"/>
            <w:tcMar>
              <w:bottom w:w="28" w:type="dxa"/>
            </w:tcMar>
            <w:vAlign w:val="center"/>
          </w:tcPr>
          <w:p>
            <w:pPr>
              <w:pStyle w:val="TableContents"/>
              <w:bidi w:val="0"/>
              <w:spacing w:before="0" w:after="283"/>
              <w:jc w:val="right"/>
              <w:rPr/>
            </w:pPr>
            <w:r>
              <w:rPr/>
              <w:t>57,918,326</w:t>
            </w:r>
          </w:p>
        </w:tc>
        <w:tc>
          <w:tcPr>
            <w:tcW w:w="116" w:type="dxa"/>
            <w:tcBorders/>
            <w:shd w:fill="FFFFFF" w:val="clear"/>
            <w:vAlign w:val="center"/>
          </w:tcPr>
          <w:p>
            <w:pPr>
              <w:pStyle w:val="TableContents"/>
              <w:bidi w:val="0"/>
              <w:spacing w:before="0" w:after="283"/>
              <w:jc w:val="left"/>
              <w:rPr/>
            </w:pPr>
            <w:r>
              <w:rPr/>
              <w:t> </w:t>
            </w:r>
          </w:p>
        </w:tc>
      </w:tr>
      <w:tr>
        <w:trPr/>
        <w:tc>
          <w:tcPr>
            <w:tcW w:w="41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4"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66"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3"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 </w:t>
            </w:r>
          </w:p>
        </w:tc>
        <w:tc>
          <w:tcPr>
            <w:tcW w:w="116" w:type="dxa"/>
            <w:tcBorders/>
            <w:shd w:fill="CCEEFF" w:val="clear"/>
            <w:vAlign w:val="center"/>
          </w:tcPr>
          <w:p>
            <w:pPr>
              <w:pStyle w:val="TableContents"/>
              <w:bidi w:val="0"/>
              <w:spacing w:before="0" w:after="283"/>
              <w:ind w:left="0" w:right="0" w:hanging="200"/>
              <w:jc w:val="left"/>
              <w:rPr/>
            </w:pPr>
            <w:r>
              <w:rPr/>
              <w:t> </w:t>
            </w:r>
            <w:bookmarkStart w:id="123" w:name="xdx_402_eus-gaap--NetIncomeLoss_iT_maCz9"/>
            <w:bookmarkEnd w:id="123"/>
          </w:p>
        </w:tc>
      </w:tr>
      <w:tr>
        <w:trPr/>
        <w:tc>
          <w:tcPr>
            <w:tcW w:w="4173"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294" w:type="dxa"/>
            <w:tcBorders/>
            <w:shd w:fill="FFFFFF" w:val="clear"/>
            <w:vAlign w:val="center"/>
          </w:tcPr>
          <w:p>
            <w:pPr>
              <w:pStyle w:val="TableContents"/>
              <w:bidi w:val="0"/>
              <w:spacing w:before="0" w:after="283"/>
              <w:jc w:val="right"/>
              <w:rPr/>
            </w:pPr>
            <w:r>
              <w:rPr/>
              <w:t>(1,835</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166" w:type="dxa"/>
            <w:tcBorders/>
            <w:shd w:fill="FFFFFF" w:val="clear"/>
            <w:vAlign w:val="center"/>
          </w:tcPr>
          <w:p>
            <w:pPr>
              <w:pStyle w:val="TableContents"/>
              <w:bidi w:val="0"/>
              <w:spacing w:before="0" w:after="283"/>
              <w:jc w:val="right"/>
              <w:rPr/>
            </w:pPr>
            <w:r>
              <w:rPr/>
              <w:t>2,700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3" w:type="dxa"/>
            <w:tcBorders/>
            <w:shd w:fill="FFFFFF" w:val="clear"/>
            <w:vAlign w:val="center"/>
          </w:tcPr>
          <w:p>
            <w:pPr>
              <w:pStyle w:val="TableContents"/>
              <w:bidi w:val="0"/>
              <w:spacing w:before="0" w:after="283"/>
              <w:jc w:val="right"/>
              <w:rPr/>
            </w:pPr>
            <w:r>
              <w:rPr/>
              <w:t>(3,145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12" w:type="dxa"/>
            <w:tcBorders/>
            <w:shd w:fill="FFFFFF" w:val="clear"/>
            <w:vAlign w:val="center"/>
          </w:tcPr>
          <w:p>
            <w:pPr>
              <w:pStyle w:val="TableContents"/>
              <w:bidi w:val="0"/>
              <w:spacing w:before="0" w:after="283"/>
              <w:jc w:val="right"/>
              <w:rPr/>
            </w:pPr>
            <w:r>
              <w:rPr/>
              <w:t>1,930</w:t>
            </w:r>
          </w:p>
        </w:tc>
        <w:tc>
          <w:tcPr>
            <w:tcW w:w="116" w:type="dxa"/>
            <w:tcBorders/>
            <w:shd w:fill="FFFFFF" w:val="clear"/>
            <w:vAlign w:val="center"/>
          </w:tcPr>
          <w:p>
            <w:pPr>
              <w:pStyle w:val="TableContents"/>
              <w:bidi w:val="0"/>
              <w:spacing w:before="0" w:after="283"/>
              <w:ind w:left="0" w:right="0" w:hanging="200"/>
              <w:jc w:val="left"/>
              <w:rPr/>
            </w:pPr>
            <w:r>
              <w:rPr/>
              <w:t> </w:t>
            </w:r>
            <w:bookmarkStart w:id="124" w:name="xdx_40C_eus-gaap--OtherComprehensiveInco"/>
            <w:bookmarkEnd w:id="124"/>
          </w:p>
        </w:tc>
      </w:tr>
      <w:tr>
        <w:trPr/>
        <w:tc>
          <w:tcPr>
            <w:tcW w:w="4173" w:type="dxa"/>
            <w:tcBorders/>
            <w:shd w:fill="CCEEFF" w:val="clear"/>
            <w:vAlign w:val="center"/>
          </w:tcPr>
          <w:p>
            <w:pPr>
              <w:pStyle w:val="TableContents"/>
              <w:bidi w:val="0"/>
              <w:spacing w:before="0" w:after="283"/>
              <w:jc w:val="left"/>
              <w:rPr/>
            </w:pPr>
            <w:r>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4" w:type="dxa"/>
            <w:tcBorders>
              <w:bottom w:val="single" w:sz="8" w:space="0" w:color="000000"/>
            </w:tcBorders>
            <w:shd w:fill="CCEEFF" w:val="clear"/>
            <w:tcMar>
              <w:bottom w:w="28" w:type="dxa"/>
            </w:tcMar>
            <w:vAlign w:val="center"/>
          </w:tcPr>
          <w:p>
            <w:pPr>
              <w:pStyle w:val="TableContents"/>
              <w:bidi w:val="0"/>
              <w:spacing w:before="0" w:after="283"/>
              <w:jc w:val="right"/>
              <w:rPr/>
            </w:pPr>
            <w:r>
              <w:rPr/>
              <w:t>(21</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66"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3" w:type="dxa"/>
            <w:tcBorders>
              <w:bottom w:val="single" w:sz="8" w:space="0" w:color="000000"/>
            </w:tcBorders>
            <w:shd w:fill="CCEEFF" w:val="clear"/>
            <w:tcMar>
              <w:bottom w:w="28" w:type="dxa"/>
            </w:tcMar>
            <w:vAlign w:val="center"/>
          </w:tcPr>
          <w:p>
            <w:pPr>
              <w:pStyle w:val="TableContents"/>
              <w:bidi w:val="0"/>
              <w:spacing w:before="0" w:after="283"/>
              <w:jc w:val="right"/>
              <w:rPr/>
            </w:pPr>
            <w:r>
              <w:rPr/>
              <w:t>(39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(22</w:t>
            </w:r>
          </w:p>
        </w:tc>
        <w:tc>
          <w:tcPr>
            <w:tcW w:w="116" w:type="dxa"/>
            <w:tcBorders/>
            <w:shd w:fill="CCEEFF" w:val="clear"/>
            <w:vAlign w:val="center"/>
          </w:tcPr>
          <w:p>
            <w:pPr>
              <w:pStyle w:val="TableContents"/>
              <w:bidi w:val="0"/>
              <w:spacing w:before="0" w:after="283"/>
              <w:ind w:left="0" w:right="0" w:hanging="200"/>
              <w:jc w:val="left"/>
              <w:rPr/>
            </w:pPr>
            <w:r>
              <w:rPr/>
              <w:t>)</w:t>
            </w:r>
            <w:bookmarkStart w:id="125" w:name="xdx_402_eus-gaap--ComprehensiveIncomeNet"/>
            <w:bookmarkEnd w:id="125"/>
          </w:p>
        </w:tc>
      </w:tr>
      <w:tr>
        <w:trPr/>
        <w:tc>
          <w:tcPr>
            <w:tcW w:w="4173" w:type="dxa"/>
            <w:tcBorders/>
            <w:shd w:fill="FFFFFF" w:val="clear"/>
            <w:vAlign w:val="center"/>
          </w:tcPr>
          <w:p>
            <w:pPr>
              <w:pStyle w:val="TableContents"/>
              <w:bidi w:val="0"/>
              <w:spacing w:before="0" w:after="283"/>
              <w:jc w:val="left"/>
              <w:rPr/>
            </w:pPr>
            <w:r>
              <w:rPr/>
              <w:t>Comprehensive income (loss)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4" w:type="dxa"/>
            <w:tcBorders>
              <w:bottom w:val="double" w:sz="6" w:space="0" w:color="000000"/>
            </w:tcBorders>
            <w:shd w:fill="FFFFFF" w:val="clear"/>
            <w:tcMar>
              <w:bottom w:w="28" w:type="dxa"/>
            </w:tcMar>
            <w:vAlign w:val="center"/>
          </w:tcPr>
          <w:p>
            <w:pPr>
              <w:pStyle w:val="TableContents"/>
              <w:bidi w:val="0"/>
              <w:spacing w:before="0" w:after="283"/>
              <w:jc w:val="right"/>
              <w:rPr/>
            </w:pPr>
            <w:r>
              <w:rPr/>
              <w:t>(1,856</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66" w:type="dxa"/>
            <w:tcBorders>
              <w:bottom w:val="double" w:sz="6" w:space="0" w:color="000000"/>
            </w:tcBorders>
            <w:shd w:fill="FFFFFF" w:val="clear"/>
            <w:tcMar>
              <w:bottom w:w="28" w:type="dxa"/>
            </w:tcMar>
            <w:vAlign w:val="center"/>
          </w:tcPr>
          <w:p>
            <w:pPr>
              <w:pStyle w:val="TableContents"/>
              <w:bidi w:val="0"/>
              <w:spacing w:before="0" w:after="283"/>
              <w:jc w:val="right"/>
              <w:rPr/>
            </w:pPr>
            <w:r>
              <w:rPr/>
              <w:t>2,692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3" w:type="dxa"/>
            <w:tcBorders>
              <w:bottom w:val="double" w:sz="6" w:space="0" w:color="000000"/>
            </w:tcBorders>
            <w:shd w:fill="FFFFFF" w:val="clear"/>
            <w:tcMar>
              <w:bottom w:w="28" w:type="dxa"/>
            </w:tcMar>
            <w:vAlign w:val="center"/>
          </w:tcPr>
          <w:p>
            <w:pPr>
              <w:pStyle w:val="TableContents"/>
              <w:bidi w:val="0"/>
              <w:spacing w:before="0" w:after="283"/>
              <w:jc w:val="right"/>
              <w:rPr/>
            </w:pPr>
            <w:r>
              <w:rPr/>
              <w:t>(3,184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FFFFFF" w:val="clear"/>
            <w:tcMar>
              <w:bottom w:w="28" w:type="dxa"/>
            </w:tcMar>
            <w:vAlign w:val="center"/>
          </w:tcPr>
          <w:p>
            <w:pPr>
              <w:pStyle w:val="TableContents"/>
              <w:bidi w:val="0"/>
              <w:spacing w:before="0" w:after="283"/>
              <w:jc w:val="right"/>
              <w:rPr/>
            </w:pPr>
            <w:r>
              <w:rPr/>
              <w:t>1,908</w:t>
            </w:r>
          </w:p>
        </w:tc>
        <w:tc>
          <w:tcPr>
            <w:tcW w:w="11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6" w:name="q2_005"/>
      <w:bookmarkEnd w:id="126"/>
      <w:r>
        <w:rPr>
          <w:rFonts w:ascii="Times New Roman;Times;Serif" w:hAnsi="Times New Roman;Times;Serif"/>
          <w:b/>
          <w:i w:val="false"/>
          <w:caps w:val="false"/>
          <w:smallCaps w:val="false"/>
          <w:sz w:val="20"/>
        </w:rPr>
        <w:t>CONDENSED CONSOLIDATED STATEMENTS OF CONVERTIBLE PREFERRED STOCK AND STOCKHOLDERS’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June 30,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amounts)</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127" w:name="xdx_30E_114_pn3n3_zQgePYXkogth"/>
      <w:bookmarkStart w:id="128" w:name="xdx_30E_114_pn3n3_zQgePYXkogth"/>
      <w:bookmarkEnd w:id="128"/>
    </w:p>
    <w:tbl>
      <w:tblPr>
        <w:tblW w:w="11690" w:type="dxa"/>
        <w:jc w:val="left"/>
        <w:tblInd w:w="0" w:type="dxa"/>
        <w:tblLayout w:type="fixed"/>
        <w:tblCellMar>
          <w:top w:w="0" w:type="dxa"/>
          <w:left w:w="0" w:type="dxa"/>
          <w:bottom w:w="0" w:type="dxa"/>
          <w:right w:w="0" w:type="dxa"/>
        </w:tblCellMar>
      </w:tblPr>
      <w:tblGrid>
        <w:gridCol w:w="1340"/>
        <w:gridCol w:w="60"/>
        <w:gridCol w:w="60"/>
        <w:gridCol w:w="755"/>
        <w:gridCol w:w="95"/>
        <w:gridCol w:w="60"/>
        <w:gridCol w:w="430"/>
        <w:gridCol w:w="430"/>
        <w:gridCol w:w="60"/>
        <w:gridCol w:w="60"/>
        <w:gridCol w:w="60"/>
        <w:gridCol w:w="1220"/>
        <w:gridCol w:w="60"/>
        <w:gridCol w:w="60"/>
        <w:gridCol w:w="301"/>
        <w:gridCol w:w="559"/>
        <w:gridCol w:w="60"/>
        <w:gridCol w:w="60"/>
        <w:gridCol w:w="163"/>
        <w:gridCol w:w="937"/>
        <w:gridCol w:w="95"/>
        <w:gridCol w:w="60"/>
        <w:gridCol w:w="378"/>
        <w:gridCol w:w="1232"/>
        <w:gridCol w:w="95"/>
        <w:gridCol w:w="60"/>
        <w:gridCol w:w="188"/>
        <w:gridCol w:w="1182"/>
        <w:gridCol w:w="95"/>
        <w:gridCol w:w="60"/>
        <w:gridCol w:w="228"/>
        <w:gridCol w:w="1112"/>
        <w:gridCol w:w="75"/>
      </w:tblGrid>
      <w:tr>
        <w:trPr/>
        <w:tc>
          <w:tcPr>
            <w:tcW w:w="1340" w:type="dxa"/>
            <w:tcBorders/>
            <w:shd w:fill="FFFFFF" w:val="clear"/>
            <w:vAlign w:val="center"/>
          </w:tcPr>
          <w:p>
            <w:pPr>
              <w:pStyle w:val="TableContents"/>
              <w:bidi w:val="0"/>
              <w:spacing w:before="0" w:after="283"/>
              <w:ind w:left="0" w:right="0" w:hanging="10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bookmarkStart w:id="129" w:name="xdx_4B3_us-gaap--StatementEquityComponen"/>
            <w:bookmarkEnd w:id="129"/>
          </w:p>
        </w:tc>
        <w:tc>
          <w:tcPr>
            <w:tcW w:w="4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bookmarkStart w:id="130" w:name="xdx_4B7_us-gaap--StatementEquityComponen"/>
            <w:bookmarkEnd w:id="130"/>
          </w:p>
        </w:tc>
        <w:tc>
          <w:tcPr>
            <w:tcW w:w="559"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bookmarkStart w:id="131" w:name="xdx_4B0_us-gaap--StatementEquityComponen"/>
            <w:bookmarkEnd w:id="131"/>
          </w:p>
        </w:tc>
        <w:tc>
          <w:tcPr>
            <w:tcW w:w="937"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bookmarkStart w:id="132" w:name="xdx_4BD_us-gaap--StatementEquityComponen"/>
            <w:bookmarkEnd w:id="132"/>
          </w:p>
        </w:tc>
        <w:tc>
          <w:tcPr>
            <w:tcW w:w="1232"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bookmarkStart w:id="133" w:name="xdx_4B8_us-gaap--StatementEquityComponen"/>
            <w:bookmarkEnd w:id="133"/>
          </w:p>
        </w:tc>
        <w:tc>
          <w:tcPr>
            <w:tcW w:w="1182"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bookmarkStart w:id="134" w:name="xdx_4B8_z6HCJduIpTPa"/>
            <w:bookmarkEnd w:id="134"/>
          </w:p>
        </w:tc>
        <w:tc>
          <w:tcPr>
            <w:tcW w:w="1112"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Convertible Preferred</w:t>
              <w:br/>
              <w:t>Stock ($0.0001 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br/>
              <w:t>($0.0001 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br/>
              <w:t>Other</w:t>
              <w:b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br/>
              <w:t>Stockholders’</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75" w:type="dxa"/>
            <w:tcBorders/>
            <w:vAlign w:val="center"/>
          </w:tcPr>
          <w:p>
            <w:pPr>
              <w:pStyle w:val="TableContents"/>
              <w:bidi w:val="0"/>
              <w:spacing w:before="0" w:after="283"/>
              <w:ind w:left="0" w:right="0" w:hanging="100"/>
              <w:jc w:val="left"/>
              <w:rPr/>
            </w:pPr>
            <w:r>
              <w:rPr/>
              <w:t> </w:t>
            </w:r>
            <w:bookmarkStart w:id="135" w:name="xdx_433_c20260401__20260630_eus-gaap--St"/>
            <w:bookmarkEnd w:id="135"/>
          </w:p>
        </w:tc>
      </w:tr>
      <w:tr>
        <w:trPr/>
        <w:tc>
          <w:tcPr>
            <w:tcW w:w="1340" w:type="dxa"/>
            <w:tcBorders/>
            <w:shd w:fill="CCEEFF" w:val="clear"/>
            <w:vAlign w:val="center"/>
          </w:tcPr>
          <w:p>
            <w:pPr>
              <w:pStyle w:val="TableContents"/>
              <w:bidi w:val="0"/>
              <w:spacing w:before="0" w:after="283"/>
              <w:jc w:val="left"/>
              <w:rPr>
                <w:b/>
              </w:rPr>
            </w:pPr>
            <w:r>
              <w:rPr>
                <w:b/>
              </w:rPr>
              <w:t>Balances at March 31,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6" w:name="xdx_98C_eus-gaap--SharesOutstanding_iS_p"/>
            <w:bookmarkEnd w:id="136"/>
          </w:p>
        </w:tc>
        <w:tc>
          <w:tcPr>
            <w:tcW w:w="755" w:type="dxa"/>
            <w:tcBorders/>
            <w:shd w:fill="CCEEFF" w:val="clear"/>
            <w:vAlign w:val="center"/>
          </w:tcPr>
          <w:p>
            <w:pPr>
              <w:pStyle w:val="TableContents"/>
              <w:bidi w:val="0"/>
              <w:spacing w:before="0" w:after="283"/>
              <w:jc w:val="right"/>
              <w:rPr/>
            </w:pPr>
            <w:r>
              <w:rPr/>
              <w:t>26,983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37" w:name="xdx_988_eus-gaap--SharesOutstanding_iS_p"/>
            <w:bookmarkEnd w:id="137"/>
          </w:p>
        </w:tc>
        <w:tc>
          <w:tcPr>
            <w:tcW w:w="1220" w:type="dxa"/>
            <w:tcBorders/>
            <w:shd w:fill="CCEEFF" w:val="clear"/>
            <w:vAlign w:val="center"/>
          </w:tcPr>
          <w:p>
            <w:pPr>
              <w:pStyle w:val="TableContents"/>
              <w:bidi w:val="0"/>
              <w:spacing w:before="0" w:after="283"/>
              <w:jc w:val="right"/>
              <w:rPr/>
            </w:pPr>
            <w:r>
              <w:rPr/>
              <w:t>172,318,506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110,449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(180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(119,643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(9,357</w:t>
            </w:r>
          </w:p>
        </w:tc>
        <w:tc>
          <w:tcPr>
            <w:tcW w:w="75" w:type="dxa"/>
            <w:tcBorders/>
            <w:shd w:fill="CCEEFF" w:val="clear"/>
            <w:vAlign w:val="center"/>
          </w:tcPr>
          <w:p>
            <w:pPr>
              <w:pStyle w:val="TableContents"/>
              <w:bidi w:val="0"/>
              <w:spacing w:before="0" w:after="283"/>
              <w:ind w:left="0" w:right="0" w:hanging="100"/>
              <w:jc w:val="left"/>
              <w:rPr/>
            </w:pPr>
            <w:r>
              <w:rPr/>
              <w:t>)</w:t>
            </w:r>
            <w:bookmarkStart w:id="138" w:name="xdx_401_eus-gaap--AdjustmentsToAdditiona"/>
            <w:bookmarkEnd w:id="138"/>
          </w:p>
        </w:tc>
      </w:tr>
      <w:tr>
        <w:trPr/>
        <w:tc>
          <w:tcPr>
            <w:tcW w:w="1340"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206</w:t>
            </w:r>
          </w:p>
        </w:tc>
        <w:tc>
          <w:tcPr>
            <w:tcW w:w="75" w:type="dxa"/>
            <w:tcBorders/>
            <w:shd w:fill="FFFFFF" w:val="clear"/>
            <w:vAlign w:val="center"/>
          </w:tcPr>
          <w:p>
            <w:pPr>
              <w:pStyle w:val="TableContents"/>
              <w:bidi w:val="0"/>
              <w:spacing w:before="0" w:after="283"/>
              <w:ind w:left="0" w:right="0" w:hanging="100"/>
              <w:jc w:val="left"/>
              <w:rPr/>
            </w:pPr>
            <w:r>
              <w:rPr/>
              <w:t> </w:t>
            </w:r>
            <w:bookmarkStart w:id="139" w:name="xdx_40C_eus-gaap--DebtConversionConverte"/>
            <w:bookmarkEnd w:id="139"/>
          </w:p>
        </w:tc>
      </w:tr>
      <w:tr>
        <w:trPr/>
        <w:tc>
          <w:tcPr>
            <w:tcW w:w="1340" w:type="dxa"/>
            <w:tcBorders/>
            <w:shd w:fill="CCEEFF" w:val="clear"/>
            <w:vAlign w:val="center"/>
          </w:tcPr>
          <w:p>
            <w:pPr>
              <w:pStyle w:val="TableContents"/>
              <w:bidi w:val="0"/>
              <w:spacing w:before="0" w:after="283"/>
              <w:jc w:val="left"/>
              <w:rPr/>
            </w:pPr>
            <w:r>
              <w:rPr/>
              <w:t>Debt discount on modification of 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230</w:t>
            </w:r>
          </w:p>
        </w:tc>
        <w:tc>
          <w:tcPr>
            <w:tcW w:w="75" w:type="dxa"/>
            <w:tcBorders/>
            <w:shd w:fill="CCEEFF" w:val="clear"/>
            <w:vAlign w:val="center"/>
          </w:tcPr>
          <w:p>
            <w:pPr>
              <w:pStyle w:val="TableContents"/>
              <w:bidi w:val="0"/>
              <w:spacing w:before="0" w:after="283"/>
              <w:ind w:left="0" w:right="0" w:hanging="100"/>
              <w:jc w:val="left"/>
              <w:rPr/>
            </w:pPr>
            <w:r>
              <w:rPr/>
              <w:t> </w:t>
            </w:r>
            <w:bookmarkStart w:id="140" w:name="xdx_40A_eus-gaap--StockIssuedDuringPerio"/>
            <w:bookmarkEnd w:id="140"/>
          </w:p>
        </w:tc>
      </w:tr>
      <w:tr>
        <w:trPr/>
        <w:tc>
          <w:tcPr>
            <w:tcW w:w="1340" w:type="dxa"/>
            <w:tcBorders/>
            <w:shd w:fill="FFFFFF" w:val="clear"/>
            <w:vAlign w:val="center"/>
          </w:tcPr>
          <w:p>
            <w:pPr>
              <w:pStyle w:val="TableContents"/>
              <w:bidi w:val="0"/>
              <w:spacing w:before="0" w:after="283"/>
              <w:jc w:val="left"/>
              <w:rPr/>
            </w:pPr>
            <w:r>
              <w:rPr/>
              <w:t>Cash received on sale of Series D Preferred stock, net of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1" w:name="xdx_986_eus-gaap--StockIssuedDuringPerio"/>
            <w:bookmarkEnd w:id="141"/>
          </w:p>
        </w:tc>
        <w:tc>
          <w:tcPr>
            <w:tcW w:w="755" w:type="dxa"/>
            <w:tcBorders/>
            <w:shd w:fill="FFFFFF" w:val="clear"/>
            <w:vAlign w:val="center"/>
          </w:tcPr>
          <w:p>
            <w:pPr>
              <w:pStyle w:val="TableContents"/>
              <w:bidi w:val="0"/>
              <w:spacing w:before="0" w:after="283"/>
              <w:jc w:val="right"/>
              <w:rPr/>
            </w:pPr>
            <w:r>
              <w:rPr/>
              <w:t>15,000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13,838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13,838</w:t>
            </w:r>
          </w:p>
        </w:tc>
        <w:tc>
          <w:tcPr>
            <w:tcW w:w="75" w:type="dxa"/>
            <w:tcBorders/>
            <w:shd w:fill="FFFFFF" w:val="clear"/>
            <w:vAlign w:val="center"/>
          </w:tcPr>
          <w:p>
            <w:pPr>
              <w:pStyle w:val="TableContents"/>
              <w:bidi w:val="0"/>
              <w:spacing w:before="0" w:after="283"/>
              <w:ind w:left="0" w:right="0" w:hanging="100"/>
              <w:jc w:val="left"/>
              <w:rPr/>
            </w:pPr>
            <w:r>
              <w:rPr/>
              <w:t> </w:t>
            </w:r>
            <w:bookmarkStart w:id="142" w:name="xdx_40F_ecustom--StockIssuedDuringPeriod"/>
            <w:bookmarkEnd w:id="142"/>
          </w:p>
        </w:tc>
      </w:tr>
      <w:tr>
        <w:trPr/>
        <w:tc>
          <w:tcPr>
            <w:tcW w:w="1340" w:type="dxa"/>
            <w:tcBorders/>
            <w:shd w:fill="CCEEFF" w:val="clear"/>
            <w:vAlign w:val="center"/>
          </w:tcPr>
          <w:p>
            <w:pPr>
              <w:pStyle w:val="TableContents"/>
              <w:bidi w:val="0"/>
              <w:spacing w:before="0" w:after="283"/>
              <w:jc w:val="left"/>
              <w:rPr/>
            </w:pPr>
            <w:r>
              <w:rPr/>
              <w:t>Series D preferred stock capitalized dividends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00"/>
              <w:jc w:val="left"/>
              <w:rPr/>
            </w:pPr>
            <w:r>
              <w:rPr/>
              <w:t> </w:t>
            </w:r>
            <w:bookmarkStart w:id="143" w:name="xdx_407_eus-gaap--StockIssuedDuringPerio"/>
            <w:bookmarkEnd w:id="143"/>
          </w:p>
        </w:tc>
      </w:tr>
      <w:tr>
        <w:trPr/>
        <w:tc>
          <w:tcPr>
            <w:tcW w:w="1340" w:type="dxa"/>
            <w:tcBorders/>
            <w:shd w:fill="FFFFFF" w:val="clear"/>
            <w:vAlign w:val="center"/>
          </w:tcPr>
          <w:p>
            <w:pPr>
              <w:pStyle w:val="TableContents"/>
              <w:bidi w:val="0"/>
              <w:spacing w:before="0" w:after="283"/>
              <w:jc w:val="left"/>
              <w:rPr/>
            </w:pPr>
            <w:r>
              <w:rPr/>
              <w:t>Common stock issued on conversion of Series A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4" w:name="xdx_980_eus-gaap--StockIssuedDuringPerio"/>
            <w:bookmarkEnd w:id="144"/>
          </w:p>
        </w:tc>
        <w:tc>
          <w:tcPr>
            <w:tcW w:w="755" w:type="dxa"/>
            <w:tcBorders/>
            <w:shd w:fill="FFFFFF" w:val="clear"/>
            <w:vAlign w:val="center"/>
          </w:tcPr>
          <w:p>
            <w:pPr>
              <w:pStyle w:val="TableContents"/>
              <w:bidi w:val="0"/>
              <w:spacing w:before="0" w:after="283"/>
              <w:jc w:val="right"/>
              <w:rPr/>
            </w:pPr>
            <w:r>
              <w:rPr/>
              <w:t>(15,000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45" w:name="xdx_984_eus-gaap--StockIssuedDuringPerio"/>
            <w:bookmarkEnd w:id="145"/>
          </w:p>
        </w:tc>
        <w:tc>
          <w:tcPr>
            <w:tcW w:w="1220" w:type="dxa"/>
            <w:tcBorders/>
            <w:shd w:fill="FFFFFF" w:val="clear"/>
            <w:vAlign w:val="center"/>
          </w:tcPr>
          <w:p>
            <w:pPr>
              <w:pStyle w:val="TableContents"/>
              <w:bidi w:val="0"/>
              <w:spacing w:before="0" w:after="283"/>
              <w:jc w:val="right"/>
              <w:rPr/>
            </w:pPr>
            <w:r>
              <w:rPr/>
              <w:t>15,000,000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00"/>
              <w:jc w:val="left"/>
              <w:rPr/>
            </w:pPr>
            <w:r>
              <w:rPr/>
              <w:t> </w:t>
            </w:r>
            <w:bookmarkStart w:id="146" w:name="xdx_40E_eus-gaap--StockIssuedDuringPerio"/>
            <w:bookmarkEnd w:id="146"/>
          </w:p>
        </w:tc>
      </w:tr>
      <w:tr>
        <w:trPr/>
        <w:tc>
          <w:tcPr>
            <w:tcW w:w="1340" w:type="dxa"/>
            <w:tcBorders/>
            <w:shd w:fill="CCEEFF" w:val="clear"/>
            <w:vAlign w:val="center"/>
          </w:tcPr>
          <w:p>
            <w:pPr>
              <w:pStyle w:val="TableContents"/>
              <w:bidi w:val="0"/>
              <w:spacing w:before="0" w:after="283"/>
              <w:jc w:val="left"/>
              <w:rPr/>
            </w:pPr>
            <w:r>
              <w:rPr/>
              <w:t>Common stock issued on 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47" w:name="xdx_988_eus-gaap--StockIssuedDuringPerio"/>
            <w:bookmarkEnd w:id="147"/>
          </w:p>
        </w:tc>
        <w:tc>
          <w:tcPr>
            <w:tcW w:w="1220" w:type="dxa"/>
            <w:tcBorders/>
            <w:shd w:fill="CCEEFF" w:val="clear"/>
            <w:vAlign w:val="center"/>
          </w:tcPr>
          <w:p>
            <w:pPr>
              <w:pStyle w:val="TableContents"/>
              <w:bidi w:val="0"/>
              <w:spacing w:before="0" w:after="283"/>
              <w:jc w:val="right"/>
              <w:rPr/>
            </w:pPr>
            <w:r>
              <w:rPr/>
              <w:t>10,415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bookmarkStart w:id="148" w:name="xdx_401_eus-gaap--NetIncomeLoss_zo0BT9wQ"/>
            <w:bookmarkEnd w:id="148"/>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(1,835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(1,835</w:t>
            </w:r>
          </w:p>
        </w:tc>
        <w:tc>
          <w:tcPr>
            <w:tcW w:w="75" w:type="dxa"/>
            <w:tcBorders/>
            <w:shd w:fill="FFFFFF" w:val="clear"/>
            <w:vAlign w:val="center"/>
          </w:tcPr>
          <w:p>
            <w:pPr>
              <w:pStyle w:val="TableContents"/>
              <w:bidi w:val="0"/>
              <w:spacing w:before="0" w:after="283"/>
              <w:ind w:left="0" w:right="0" w:hanging="100"/>
              <w:jc w:val="left"/>
              <w:rPr/>
            </w:pPr>
            <w:r>
              <w:rPr/>
              <w:t>)</w:t>
            </w:r>
            <w:bookmarkStart w:id="149" w:name="xdx_406_eus-gaap--OtherComprehensiveInco"/>
            <w:bookmarkEnd w:id="149"/>
          </w:p>
        </w:tc>
      </w:tr>
      <w:tr>
        <w:trPr/>
        <w:tc>
          <w:tcPr>
            <w:tcW w:w="1340" w:type="dxa"/>
            <w:tcBorders/>
            <w:shd w:fill="CCEEFF" w:val="clear"/>
            <w:vAlign w:val="center"/>
          </w:tcPr>
          <w:p>
            <w:pPr>
              <w:pStyle w:val="TableContents"/>
              <w:bidi w:val="0"/>
              <w:spacing w:before="0" w:after="283"/>
              <w:jc w:val="left"/>
              <w:rPr/>
            </w:pPr>
            <w:r>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CCEEFF" w:val="clear"/>
            <w:tcMar>
              <w:bottom w:w="28" w:type="dxa"/>
            </w:tcMar>
            <w:vAlign w:val="center"/>
          </w:tcPr>
          <w:p>
            <w:pPr>
              <w:pStyle w:val="TableContents"/>
              <w:bidi w:val="0"/>
              <w:spacing w:before="0" w:after="283"/>
              <w:jc w:val="right"/>
              <w:rPr/>
            </w:pPr>
            <w:r>
              <w:rPr/>
              <w:t>(21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(21</w:t>
            </w:r>
          </w:p>
        </w:tc>
        <w:tc>
          <w:tcPr>
            <w:tcW w:w="75" w:type="dxa"/>
            <w:tcBorders/>
            <w:shd w:fill="CCEEFF" w:val="clear"/>
            <w:vAlign w:val="center"/>
          </w:tcPr>
          <w:p>
            <w:pPr>
              <w:pStyle w:val="TableContents"/>
              <w:bidi w:val="0"/>
              <w:spacing w:before="0" w:after="283"/>
              <w:ind w:left="0" w:right="0" w:hanging="100"/>
              <w:jc w:val="left"/>
              <w:rPr/>
            </w:pPr>
            <w:r>
              <w:rPr/>
              <w:t>)</w:t>
            </w:r>
            <w:bookmarkStart w:id="150" w:name="xdx_439_c20260401__20260630_eus-gaap--St"/>
            <w:bookmarkEnd w:id="150"/>
          </w:p>
        </w:tc>
      </w:tr>
      <w:tr>
        <w:trPr/>
        <w:tc>
          <w:tcPr>
            <w:tcW w:w="1340" w:type="dxa"/>
            <w:tcBorders/>
            <w:shd w:fill="FFFFFF" w:val="clear"/>
            <w:vAlign w:val="center"/>
          </w:tcPr>
          <w:p>
            <w:pPr>
              <w:pStyle w:val="TableContents"/>
              <w:bidi w:val="0"/>
              <w:spacing w:before="0" w:after="283"/>
              <w:jc w:val="left"/>
              <w:rPr>
                <w:b/>
              </w:rPr>
            </w:pPr>
            <w:r>
              <w:rPr>
                <w:b/>
              </w:rPr>
              <w:t>Balances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1" w:name="xdx_983_eus-gaap--SharesOutstanding_iE_p"/>
            <w:bookmarkEnd w:id="151"/>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26,983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52" w:name="xdx_983_eus-gaap--SharesOutstanding_iE_p"/>
            <w:bookmarkEnd w:id="152"/>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187,328,921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pPr>
            <w:r>
              <w:rPr/>
              <w:t>124,949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2" w:type="dxa"/>
            <w:tcBorders>
              <w:bottom w:val="double" w:sz="6" w:space="0" w:color="000000"/>
            </w:tcBorders>
            <w:shd w:fill="FFFFFF" w:val="clear"/>
            <w:tcMar>
              <w:bottom w:w="28" w:type="dxa"/>
            </w:tcMar>
            <w:vAlign w:val="center"/>
          </w:tcPr>
          <w:p>
            <w:pPr>
              <w:pStyle w:val="TableContents"/>
              <w:bidi w:val="0"/>
              <w:spacing w:before="0" w:after="283"/>
              <w:jc w:val="right"/>
              <w:rPr/>
            </w:pPr>
            <w:r>
              <w:rPr/>
              <w:t>(201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pPr>
            <w:r>
              <w:rPr/>
              <w:t>(121,705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FFFFFF" w:val="clear"/>
            <w:tcMar>
              <w:bottom w:w="28" w:type="dxa"/>
            </w:tcMar>
            <w:vAlign w:val="center"/>
          </w:tcPr>
          <w:p>
            <w:pPr>
              <w:pStyle w:val="TableContents"/>
              <w:bidi w:val="0"/>
              <w:spacing w:before="0" w:after="283"/>
              <w:jc w:val="right"/>
              <w:rPr/>
            </w:pPr>
            <w:r>
              <w:rPr/>
              <w:t>3,062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amounts)</w:t>
      </w:r>
    </w:p>
    <w:p>
      <w:pPr>
        <w:pStyle w:val="TextBody"/>
        <w:bidi w:val="0"/>
        <w:spacing w:before="0" w:after="0"/>
        <w:ind w:left="0" w:right="0" w:hanging="0"/>
        <w:jc w:val="left"/>
        <w:rPr>
          <w:caps w:val="false"/>
          <w:smallCaps w:val="false"/>
        </w:rPr>
      </w:pPr>
      <w:r>
        <w:rPr>
          <w:caps w:val="false"/>
          <w:smallCaps w:val="false"/>
        </w:rPr>
        <w:t> </w:t>
      </w:r>
    </w:p>
    <w:tbl>
      <w:tblPr>
        <w:tblW w:w="11690" w:type="dxa"/>
        <w:jc w:val="left"/>
        <w:tblInd w:w="0" w:type="dxa"/>
        <w:tblLayout w:type="fixed"/>
        <w:tblCellMar>
          <w:top w:w="0" w:type="dxa"/>
          <w:left w:w="0" w:type="dxa"/>
          <w:bottom w:w="0" w:type="dxa"/>
          <w:right w:w="0" w:type="dxa"/>
        </w:tblCellMar>
      </w:tblPr>
      <w:tblGrid>
        <w:gridCol w:w="1340"/>
        <w:gridCol w:w="60"/>
        <w:gridCol w:w="60"/>
        <w:gridCol w:w="755"/>
        <w:gridCol w:w="95"/>
        <w:gridCol w:w="60"/>
        <w:gridCol w:w="430"/>
        <w:gridCol w:w="430"/>
        <w:gridCol w:w="60"/>
        <w:gridCol w:w="60"/>
        <w:gridCol w:w="60"/>
        <w:gridCol w:w="1220"/>
        <w:gridCol w:w="60"/>
        <w:gridCol w:w="60"/>
        <w:gridCol w:w="301"/>
        <w:gridCol w:w="559"/>
        <w:gridCol w:w="60"/>
        <w:gridCol w:w="60"/>
        <w:gridCol w:w="163"/>
        <w:gridCol w:w="937"/>
        <w:gridCol w:w="95"/>
        <w:gridCol w:w="60"/>
        <w:gridCol w:w="378"/>
        <w:gridCol w:w="1232"/>
        <w:gridCol w:w="95"/>
        <w:gridCol w:w="60"/>
        <w:gridCol w:w="188"/>
        <w:gridCol w:w="1182"/>
        <w:gridCol w:w="95"/>
        <w:gridCol w:w="60"/>
        <w:gridCol w:w="228"/>
        <w:gridCol w:w="1112"/>
        <w:gridCol w:w="75"/>
      </w:tblGrid>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8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Convertible Preferred</w:t>
              <w:br/>
              <w:t>Stock ($0.0001 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br/>
              <w:t>($0.0001 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br/>
              <w:t>Other</w:t>
              <w:b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vAlign w:val="center"/>
          </w:tcPr>
          <w:p>
            <w:pPr>
              <w:pStyle w:val="TableContents"/>
              <w:bidi w:val="0"/>
              <w:spacing w:before="0" w:after="283"/>
              <w:jc w:val="center"/>
              <w:rPr>
                <w:b/>
              </w:rPr>
            </w:pPr>
            <w:r>
              <w:rPr>
                <w:b/>
              </w:rPr>
              <w:t>Total</w:t>
              <w:br/>
              <w:t>Stockholders’</w:t>
            </w:r>
          </w:p>
        </w:tc>
        <w:tc>
          <w:tcPr>
            <w:tcW w:w="75"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75" w:type="dxa"/>
            <w:tcBorders/>
            <w:vAlign w:val="center"/>
          </w:tcPr>
          <w:p>
            <w:pPr>
              <w:pStyle w:val="TableContents"/>
              <w:bidi w:val="0"/>
              <w:spacing w:before="0" w:after="283"/>
              <w:ind w:left="0" w:right="0" w:hanging="100"/>
              <w:jc w:val="left"/>
              <w:rPr/>
            </w:pPr>
            <w:r>
              <w:rPr/>
              <w:t> </w:t>
            </w:r>
            <w:bookmarkStart w:id="153" w:name="xdx_43B_c20260101__20260630_eus-gaap--St"/>
            <w:bookmarkEnd w:id="153"/>
          </w:p>
        </w:tc>
      </w:tr>
      <w:tr>
        <w:trPr/>
        <w:tc>
          <w:tcPr>
            <w:tcW w:w="1340" w:type="dxa"/>
            <w:tcBorders/>
            <w:shd w:fill="CCEEFF" w:val="clear"/>
            <w:vAlign w:val="center"/>
          </w:tcPr>
          <w:p>
            <w:pPr>
              <w:pStyle w:val="TableContents"/>
              <w:bidi w:val="0"/>
              <w:spacing w:before="0" w:after="283"/>
              <w:jc w:val="left"/>
              <w:rPr>
                <w:b/>
              </w:rPr>
            </w:pPr>
            <w:r>
              <w:rPr>
                <w:b/>
              </w:rPr>
              <w:t>Balances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4" w:name="xdx_98B_eus-gaap--SharesOutstanding_iS_p"/>
            <w:bookmarkEnd w:id="154"/>
          </w:p>
        </w:tc>
        <w:tc>
          <w:tcPr>
            <w:tcW w:w="755" w:type="dxa"/>
            <w:tcBorders/>
            <w:shd w:fill="CCEEFF" w:val="clear"/>
            <w:vAlign w:val="center"/>
          </w:tcPr>
          <w:p>
            <w:pPr>
              <w:pStyle w:val="TableContents"/>
              <w:bidi w:val="0"/>
              <w:spacing w:before="0" w:after="283"/>
              <w:jc w:val="right"/>
              <w:rPr/>
            </w:pPr>
            <w:r>
              <w:rPr/>
              <w:t>26,983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55" w:name="xdx_985_eus-gaap--SharesOutstanding_iS_p"/>
            <w:bookmarkEnd w:id="155"/>
          </w:p>
        </w:tc>
        <w:tc>
          <w:tcPr>
            <w:tcW w:w="1220" w:type="dxa"/>
            <w:tcBorders/>
            <w:shd w:fill="CCEEFF" w:val="clear"/>
            <w:vAlign w:val="center"/>
          </w:tcPr>
          <w:p>
            <w:pPr>
              <w:pStyle w:val="TableContents"/>
              <w:bidi w:val="0"/>
              <w:spacing w:before="0" w:after="283"/>
              <w:jc w:val="right"/>
              <w:rPr/>
            </w:pPr>
            <w:r>
              <w:rPr/>
              <w:t>172,318,506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w:t>
            </w:r>
          </w:p>
        </w:tc>
        <w:tc>
          <w:tcPr>
            <w:tcW w:w="559" w:type="dxa"/>
            <w:tcBorders/>
            <w:shd w:fill="CCEEFF" w:val="clear"/>
            <w:vAlign w:val="center"/>
          </w:tcPr>
          <w:p>
            <w:pPr>
              <w:pStyle w:val="TableContents"/>
              <w:bidi w:val="0"/>
              <w:spacing w:before="0" w:after="283"/>
              <w:jc w:val="right"/>
              <w:rPr/>
            </w:pPr>
            <w:r>
              <w:rPr/>
              <w:t>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110,211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(162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(118,333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w:t>
            </w:r>
          </w:p>
        </w:tc>
        <w:tc>
          <w:tcPr>
            <w:tcW w:w="1112" w:type="dxa"/>
            <w:tcBorders/>
            <w:shd w:fill="CCEEFF" w:val="clear"/>
            <w:vAlign w:val="center"/>
          </w:tcPr>
          <w:p>
            <w:pPr>
              <w:pStyle w:val="TableContents"/>
              <w:bidi w:val="0"/>
              <w:spacing w:before="0" w:after="283"/>
              <w:jc w:val="right"/>
              <w:rPr/>
            </w:pPr>
            <w:r>
              <w:rPr/>
              <w:t>(8,267</w:t>
            </w:r>
          </w:p>
        </w:tc>
        <w:tc>
          <w:tcPr>
            <w:tcW w:w="75" w:type="dxa"/>
            <w:tcBorders/>
            <w:shd w:fill="CCEEFF" w:val="clear"/>
            <w:vAlign w:val="center"/>
          </w:tcPr>
          <w:p>
            <w:pPr>
              <w:pStyle w:val="TableContents"/>
              <w:bidi w:val="0"/>
              <w:spacing w:before="0" w:after="283"/>
              <w:ind w:left="0" w:right="0" w:hanging="100"/>
              <w:jc w:val="left"/>
              <w:rPr/>
            </w:pPr>
            <w:r>
              <w:rPr/>
              <w:t>)</w:t>
            </w:r>
            <w:bookmarkStart w:id="156" w:name="xdx_400_eus-gaap--AdjustmentsToAdditiona"/>
            <w:bookmarkEnd w:id="156"/>
          </w:p>
        </w:tc>
      </w:tr>
      <w:tr>
        <w:trPr/>
        <w:tc>
          <w:tcPr>
            <w:tcW w:w="1340"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444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444</w:t>
            </w:r>
          </w:p>
        </w:tc>
        <w:tc>
          <w:tcPr>
            <w:tcW w:w="75" w:type="dxa"/>
            <w:tcBorders/>
            <w:shd w:fill="FFFFFF" w:val="clear"/>
            <w:vAlign w:val="center"/>
          </w:tcPr>
          <w:p>
            <w:pPr>
              <w:pStyle w:val="TableContents"/>
              <w:bidi w:val="0"/>
              <w:spacing w:before="0" w:after="283"/>
              <w:ind w:left="0" w:right="0" w:hanging="100"/>
              <w:jc w:val="left"/>
              <w:rPr/>
            </w:pPr>
            <w:r>
              <w:rPr/>
              <w:t> </w:t>
            </w:r>
            <w:bookmarkStart w:id="157" w:name="xdx_402_eus-gaap--DebtConversionConverte"/>
            <w:bookmarkEnd w:id="157"/>
          </w:p>
        </w:tc>
      </w:tr>
      <w:tr>
        <w:trPr/>
        <w:tc>
          <w:tcPr>
            <w:tcW w:w="1340" w:type="dxa"/>
            <w:tcBorders/>
            <w:shd w:fill="CCEEFF" w:val="clear"/>
            <w:vAlign w:val="center"/>
          </w:tcPr>
          <w:p>
            <w:pPr>
              <w:pStyle w:val="TableContents"/>
              <w:bidi w:val="0"/>
              <w:spacing w:before="0" w:after="283"/>
              <w:jc w:val="left"/>
              <w:rPr/>
            </w:pPr>
            <w:r>
              <w:rPr/>
              <w:t>Debt discount on modification of convertible notes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230</w:t>
            </w:r>
          </w:p>
        </w:tc>
        <w:tc>
          <w:tcPr>
            <w:tcW w:w="75" w:type="dxa"/>
            <w:tcBorders/>
            <w:shd w:fill="CCEEFF" w:val="clear"/>
            <w:vAlign w:val="center"/>
          </w:tcPr>
          <w:p>
            <w:pPr>
              <w:pStyle w:val="TableContents"/>
              <w:bidi w:val="0"/>
              <w:spacing w:before="0" w:after="283"/>
              <w:ind w:left="0" w:right="0" w:hanging="100"/>
              <w:jc w:val="left"/>
              <w:rPr/>
            </w:pPr>
            <w:r>
              <w:rPr/>
              <w:t> </w:t>
            </w:r>
            <w:bookmarkStart w:id="158" w:name="xdx_409_eus-gaap--StockIssuedDuringPerio"/>
            <w:bookmarkEnd w:id="158"/>
          </w:p>
        </w:tc>
      </w:tr>
      <w:tr>
        <w:trPr/>
        <w:tc>
          <w:tcPr>
            <w:tcW w:w="1340" w:type="dxa"/>
            <w:tcBorders/>
            <w:shd w:fill="FFFFFF" w:val="clear"/>
            <w:vAlign w:val="center"/>
          </w:tcPr>
          <w:p>
            <w:pPr>
              <w:pStyle w:val="TableContents"/>
              <w:bidi w:val="0"/>
              <w:spacing w:before="0" w:after="283"/>
              <w:jc w:val="left"/>
              <w:rPr/>
            </w:pPr>
            <w:r>
              <w:rPr/>
              <w:t>Cash received on sale of Series D Preferred stock, net of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59" w:name="xdx_988_eus-gaap--StockIssuedDuringPerio"/>
            <w:bookmarkEnd w:id="159"/>
          </w:p>
        </w:tc>
        <w:tc>
          <w:tcPr>
            <w:tcW w:w="755" w:type="dxa"/>
            <w:tcBorders/>
            <w:shd w:fill="FFFFFF" w:val="clear"/>
            <w:vAlign w:val="center"/>
          </w:tcPr>
          <w:p>
            <w:pPr>
              <w:pStyle w:val="TableContents"/>
              <w:bidi w:val="0"/>
              <w:spacing w:before="0" w:after="283"/>
              <w:jc w:val="right"/>
              <w:rPr/>
            </w:pPr>
            <w:r>
              <w:rPr/>
              <w:t>15,000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13,838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13,838</w:t>
            </w:r>
          </w:p>
        </w:tc>
        <w:tc>
          <w:tcPr>
            <w:tcW w:w="75" w:type="dxa"/>
            <w:tcBorders/>
            <w:shd w:fill="FFFFFF" w:val="clear"/>
            <w:vAlign w:val="center"/>
          </w:tcPr>
          <w:p>
            <w:pPr>
              <w:pStyle w:val="TableContents"/>
              <w:bidi w:val="0"/>
              <w:spacing w:before="0" w:after="283"/>
              <w:ind w:left="0" w:right="0" w:hanging="100"/>
              <w:jc w:val="left"/>
              <w:rPr/>
            </w:pPr>
            <w:r>
              <w:rPr/>
              <w:t> </w:t>
            </w:r>
            <w:bookmarkStart w:id="160" w:name="xdx_40F_ecustom--StockIssuedDuringPeriod"/>
            <w:bookmarkEnd w:id="160"/>
          </w:p>
        </w:tc>
      </w:tr>
      <w:tr>
        <w:trPr/>
        <w:tc>
          <w:tcPr>
            <w:tcW w:w="1340" w:type="dxa"/>
            <w:tcBorders/>
            <w:shd w:fill="CCEEFF" w:val="clear"/>
            <w:vAlign w:val="center"/>
          </w:tcPr>
          <w:p>
            <w:pPr>
              <w:pStyle w:val="TableContents"/>
              <w:bidi w:val="0"/>
              <w:spacing w:before="0" w:after="283"/>
              <w:jc w:val="left"/>
              <w:rPr/>
            </w:pPr>
            <w:r>
              <w:rPr/>
              <w:t>Series D preferred stock capitalized dividends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ind w:left="0" w:right="0" w:hanging="100"/>
              <w:jc w:val="left"/>
              <w:rPr/>
            </w:pPr>
            <w:r>
              <w:rPr/>
              <w:t> </w:t>
            </w:r>
            <w:bookmarkStart w:id="161" w:name="xdx_401_eus-gaap--StockIssuedDuringPerio"/>
            <w:bookmarkEnd w:id="161"/>
          </w:p>
        </w:tc>
      </w:tr>
      <w:tr>
        <w:trPr/>
        <w:tc>
          <w:tcPr>
            <w:tcW w:w="1340" w:type="dxa"/>
            <w:tcBorders/>
            <w:shd w:fill="FFFFFF" w:val="clear"/>
            <w:vAlign w:val="center"/>
          </w:tcPr>
          <w:p>
            <w:pPr>
              <w:pStyle w:val="TableContents"/>
              <w:bidi w:val="0"/>
              <w:spacing w:before="0" w:after="283"/>
              <w:jc w:val="left"/>
              <w:rPr/>
            </w:pPr>
            <w:r>
              <w:rPr/>
              <w:t>Common stock issued on conversion of Series A Preferred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2" w:name="xdx_983_eus-gaap--StockIssuedDuringPerio"/>
            <w:bookmarkEnd w:id="162"/>
          </w:p>
        </w:tc>
        <w:tc>
          <w:tcPr>
            <w:tcW w:w="755" w:type="dxa"/>
            <w:tcBorders/>
            <w:shd w:fill="FFFFFF" w:val="clear"/>
            <w:vAlign w:val="center"/>
          </w:tcPr>
          <w:p>
            <w:pPr>
              <w:pStyle w:val="TableContents"/>
              <w:bidi w:val="0"/>
              <w:spacing w:before="0" w:after="283"/>
              <w:jc w:val="right"/>
              <w:rPr/>
            </w:pPr>
            <w:r>
              <w:rPr/>
              <w:t>(15,000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163" w:name="xdx_98C_eus-gaap--StockIssuedDuringPerio"/>
            <w:bookmarkEnd w:id="163"/>
          </w:p>
        </w:tc>
        <w:tc>
          <w:tcPr>
            <w:tcW w:w="1220" w:type="dxa"/>
            <w:tcBorders/>
            <w:shd w:fill="FFFFFF" w:val="clear"/>
            <w:vAlign w:val="center"/>
          </w:tcPr>
          <w:p>
            <w:pPr>
              <w:pStyle w:val="TableContents"/>
              <w:bidi w:val="0"/>
              <w:spacing w:before="0" w:after="283"/>
              <w:jc w:val="right"/>
              <w:rPr/>
            </w:pPr>
            <w:r>
              <w:rPr/>
              <w:t>15,000,000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ind w:left="0" w:right="0" w:hanging="100"/>
              <w:jc w:val="left"/>
              <w:rPr/>
            </w:pPr>
            <w:r>
              <w:rPr/>
              <w:t> </w:t>
            </w:r>
            <w:bookmarkStart w:id="164" w:name="xdx_40B_eus-gaap--StockIssuedDuringPerio"/>
            <w:bookmarkEnd w:id="164"/>
          </w:p>
        </w:tc>
      </w:tr>
      <w:tr>
        <w:trPr/>
        <w:tc>
          <w:tcPr>
            <w:tcW w:w="1340" w:type="dxa"/>
            <w:tcBorders/>
            <w:shd w:fill="CCEEFF" w:val="clear"/>
            <w:vAlign w:val="center"/>
          </w:tcPr>
          <w:p>
            <w:pPr>
              <w:pStyle w:val="TableContents"/>
              <w:bidi w:val="0"/>
              <w:spacing w:before="0" w:after="283"/>
              <w:jc w:val="left"/>
              <w:rPr/>
            </w:pPr>
            <w:r>
              <w:rPr/>
              <w:t>Common stock issued on exercise of 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165" w:name="xdx_98F_eus-gaap--StockIssuedDuringPerio"/>
            <w:bookmarkEnd w:id="165"/>
          </w:p>
        </w:tc>
        <w:tc>
          <w:tcPr>
            <w:tcW w:w="1220" w:type="dxa"/>
            <w:tcBorders/>
            <w:shd w:fill="CCEEFF" w:val="clear"/>
            <w:vAlign w:val="center"/>
          </w:tcPr>
          <w:p>
            <w:pPr>
              <w:pStyle w:val="TableContents"/>
              <w:bidi w:val="0"/>
              <w:spacing w:before="0" w:after="283"/>
              <w:jc w:val="right"/>
              <w:rPr/>
            </w:pPr>
            <w:r>
              <w:rPr/>
              <w:t>10,415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shd w:fill="CCEEFF" w:val="clear"/>
            <w:vAlign w:val="center"/>
          </w:tcPr>
          <w:p>
            <w:pPr>
              <w:pStyle w:val="TableContents"/>
              <w:bidi w:val="0"/>
              <w:spacing w:before="0" w:after="283"/>
              <w:jc w:val="left"/>
              <w:rPr/>
            </w:pPr>
            <w:r>
              <w:rPr/>
              <w:t> </w:t>
            </w:r>
          </w:p>
        </w:tc>
        <w:tc>
          <w:tcPr>
            <w:tcW w:w="559"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jc w:val="left"/>
              <w:rPr/>
            </w:pPr>
            <w:r>
              <w:rPr/>
              <w:t> </w:t>
            </w:r>
          </w:p>
        </w:tc>
        <w:tc>
          <w:tcPr>
            <w:tcW w:w="1112" w:type="dxa"/>
            <w:tcBorders/>
            <w:shd w:fill="CCEEFF" w:val="clear"/>
            <w:vAlign w:val="center"/>
          </w:tcPr>
          <w:p>
            <w:pPr>
              <w:pStyle w:val="TableContents"/>
              <w:bidi w:val="0"/>
              <w:spacing w:before="0" w:after="283"/>
              <w:jc w:val="right"/>
              <w:rPr/>
            </w:pPr>
            <w:r>
              <w:rPr/>
              <w:t>1</w:t>
            </w:r>
          </w:p>
        </w:tc>
        <w:tc>
          <w:tcPr>
            <w:tcW w:w="75" w:type="dxa"/>
            <w:tcBorders/>
            <w:shd w:fill="CCEEFF" w:val="clear"/>
            <w:vAlign w:val="center"/>
          </w:tcPr>
          <w:p>
            <w:pPr>
              <w:pStyle w:val="TableContents"/>
              <w:bidi w:val="0"/>
              <w:spacing w:before="0" w:after="283"/>
              <w:jc w:val="left"/>
              <w:rPr/>
            </w:pPr>
            <w:r>
              <w:rPr/>
              <w:t> </w:t>
            </w:r>
            <w:bookmarkStart w:id="166" w:name="xdx_403_eus-gaap--NetIncomeLoss_zQISl4Df"/>
            <w:bookmarkEnd w:id="166"/>
          </w:p>
        </w:tc>
      </w:tr>
      <w:tr>
        <w:trPr/>
        <w:tc>
          <w:tcPr>
            <w:tcW w:w="134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shd w:fill="FFFFFF" w:val="clear"/>
            <w:vAlign w:val="center"/>
          </w:tcPr>
          <w:p>
            <w:pPr>
              <w:pStyle w:val="TableContents"/>
              <w:bidi w:val="0"/>
              <w:spacing w:before="0" w:after="283"/>
              <w:jc w:val="left"/>
              <w:rPr/>
            </w:pPr>
            <w:r>
              <w:rPr/>
              <w:t> </w:t>
            </w:r>
          </w:p>
        </w:tc>
        <w:tc>
          <w:tcPr>
            <w:tcW w:w="559"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(3,145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jc w:val="left"/>
              <w:rPr/>
            </w:pPr>
            <w:r>
              <w:rPr/>
              <w:t> </w:t>
            </w:r>
          </w:p>
        </w:tc>
        <w:tc>
          <w:tcPr>
            <w:tcW w:w="1112" w:type="dxa"/>
            <w:tcBorders/>
            <w:shd w:fill="FFFFFF" w:val="clear"/>
            <w:vAlign w:val="center"/>
          </w:tcPr>
          <w:p>
            <w:pPr>
              <w:pStyle w:val="TableContents"/>
              <w:bidi w:val="0"/>
              <w:spacing w:before="0" w:after="283"/>
              <w:jc w:val="right"/>
              <w:rPr/>
            </w:pPr>
            <w:r>
              <w:rPr/>
              <w:t>(3,145</w:t>
            </w:r>
          </w:p>
        </w:tc>
        <w:tc>
          <w:tcPr>
            <w:tcW w:w="75" w:type="dxa"/>
            <w:tcBorders/>
            <w:shd w:fill="FFFFFF" w:val="clear"/>
            <w:vAlign w:val="center"/>
          </w:tcPr>
          <w:p>
            <w:pPr>
              <w:pStyle w:val="TableContents"/>
              <w:bidi w:val="0"/>
              <w:spacing w:before="0" w:after="283"/>
              <w:ind w:left="0" w:right="0" w:hanging="100"/>
              <w:jc w:val="left"/>
              <w:rPr/>
            </w:pPr>
            <w:r>
              <w:rPr/>
              <w:t>)</w:t>
            </w:r>
            <w:bookmarkStart w:id="167" w:name="xdx_406_eus-gaap--OtherComprehensiveInco"/>
            <w:bookmarkEnd w:id="167"/>
          </w:p>
        </w:tc>
      </w:tr>
      <w:tr>
        <w:trPr/>
        <w:tc>
          <w:tcPr>
            <w:tcW w:w="1340" w:type="dxa"/>
            <w:tcBorders/>
            <w:shd w:fill="CCEEFF" w:val="clear"/>
            <w:vAlign w:val="center"/>
          </w:tcPr>
          <w:p>
            <w:pPr>
              <w:pStyle w:val="TableContents"/>
              <w:bidi w:val="0"/>
              <w:spacing w:before="0" w:after="283"/>
              <w:jc w:val="left"/>
              <w:rPr/>
            </w:pPr>
            <w:r>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5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CCEEFF" w:val="clear"/>
            <w:tcMar>
              <w:bottom w:w="28" w:type="dxa"/>
            </w:tcMar>
            <w:vAlign w:val="center"/>
          </w:tcPr>
          <w:p>
            <w:pPr>
              <w:pStyle w:val="TableContents"/>
              <w:bidi w:val="0"/>
              <w:spacing w:before="0" w:after="283"/>
              <w:jc w:val="right"/>
              <w:rPr/>
            </w:pPr>
            <w:r>
              <w:rPr/>
              <w:t>(39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2" w:type="dxa"/>
            <w:tcBorders>
              <w:bottom w:val="single" w:sz="8" w:space="0" w:color="000000"/>
            </w:tcBorders>
            <w:shd w:fill="CCEEFF" w:val="clear"/>
            <w:tcMar>
              <w:bottom w:w="28" w:type="dxa"/>
            </w:tcMar>
            <w:vAlign w:val="center"/>
          </w:tcPr>
          <w:p>
            <w:pPr>
              <w:pStyle w:val="TableContents"/>
              <w:bidi w:val="0"/>
              <w:spacing w:before="0" w:after="283"/>
              <w:jc w:val="right"/>
              <w:rPr/>
            </w:pPr>
            <w:r>
              <w:rPr/>
              <w:t>(39</w:t>
            </w:r>
          </w:p>
        </w:tc>
        <w:tc>
          <w:tcPr>
            <w:tcW w:w="75" w:type="dxa"/>
            <w:tcBorders/>
            <w:shd w:fill="CCEEFF" w:val="clear"/>
            <w:vAlign w:val="center"/>
          </w:tcPr>
          <w:p>
            <w:pPr>
              <w:pStyle w:val="TableContents"/>
              <w:bidi w:val="0"/>
              <w:spacing w:before="0" w:after="283"/>
              <w:ind w:left="0" w:right="0" w:hanging="100"/>
              <w:jc w:val="left"/>
              <w:rPr/>
            </w:pPr>
            <w:r>
              <w:rPr/>
              <w:t>)</w:t>
            </w:r>
            <w:bookmarkStart w:id="168" w:name="xdx_430_c20260101__20260630_eus-gaap--St"/>
            <w:bookmarkEnd w:id="168"/>
          </w:p>
        </w:tc>
      </w:tr>
      <w:tr>
        <w:trPr/>
        <w:tc>
          <w:tcPr>
            <w:tcW w:w="1340" w:type="dxa"/>
            <w:tcBorders/>
            <w:shd w:fill="FFFFFF" w:val="clear"/>
            <w:vAlign w:val="center"/>
          </w:tcPr>
          <w:p>
            <w:pPr>
              <w:pStyle w:val="TableContents"/>
              <w:bidi w:val="0"/>
              <w:spacing w:before="0" w:after="283"/>
              <w:jc w:val="left"/>
              <w:rPr>
                <w:b/>
              </w:rPr>
            </w:pPr>
            <w:r>
              <w:rPr>
                <w:b/>
              </w:rPr>
              <w:t>Balances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69" w:name="xdx_982_eus-gaap--SharesOutstanding_iE_p"/>
            <w:bookmarkEnd w:id="169"/>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26,983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70" w:name="xdx_98A_eus-gaap--SharesOutstanding_iE_p"/>
            <w:bookmarkEnd w:id="170"/>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187,328,921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9" w:type="dxa"/>
            <w:tcBorders>
              <w:bottom w:val="double" w:sz="6" w:space="0" w:color="000000"/>
            </w:tcBorders>
            <w:shd w:fill="FFFFFF" w:val="clear"/>
            <w:tcMar>
              <w:bottom w:w="28" w:type="dxa"/>
            </w:tcMar>
            <w:vAlign w:val="center"/>
          </w:tcPr>
          <w:p>
            <w:pPr>
              <w:pStyle w:val="TableContents"/>
              <w:bidi w:val="0"/>
              <w:spacing w:before="0" w:after="283"/>
              <w:jc w:val="right"/>
              <w:rPr/>
            </w:pPr>
            <w:r>
              <w:rPr/>
              <w:t>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pPr>
            <w:r>
              <w:rPr/>
              <w:t>124,949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2" w:type="dxa"/>
            <w:tcBorders>
              <w:bottom w:val="double" w:sz="6" w:space="0" w:color="000000"/>
            </w:tcBorders>
            <w:shd w:fill="FFFFFF" w:val="clear"/>
            <w:tcMar>
              <w:bottom w:w="28" w:type="dxa"/>
            </w:tcMar>
            <w:vAlign w:val="center"/>
          </w:tcPr>
          <w:p>
            <w:pPr>
              <w:pStyle w:val="TableContents"/>
              <w:bidi w:val="0"/>
              <w:spacing w:before="0" w:after="283"/>
              <w:jc w:val="right"/>
              <w:rPr/>
            </w:pPr>
            <w:r>
              <w:rPr/>
              <w:t>(201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pPr>
            <w:r>
              <w:rPr/>
              <w:t>(121,705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2" w:type="dxa"/>
            <w:tcBorders>
              <w:bottom w:val="double" w:sz="6" w:space="0" w:color="000000"/>
            </w:tcBorders>
            <w:shd w:fill="FFFFFF" w:val="clear"/>
            <w:tcMar>
              <w:bottom w:w="28" w:type="dxa"/>
            </w:tcMar>
            <w:vAlign w:val="center"/>
          </w:tcPr>
          <w:p>
            <w:pPr>
              <w:pStyle w:val="TableContents"/>
              <w:bidi w:val="0"/>
              <w:spacing w:before="0" w:after="283"/>
              <w:jc w:val="right"/>
              <w:rPr/>
            </w:pPr>
            <w:r>
              <w:rPr/>
              <w:t>3,062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CONVERTIBLE PREFERRED STOCK AND STOCKHOLDERS’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 June 30,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3"/>
        <w:gridCol w:w="60"/>
        <w:gridCol w:w="61"/>
        <w:gridCol w:w="1129"/>
        <w:gridCol w:w="61"/>
        <w:gridCol w:w="61"/>
        <w:gridCol w:w="430"/>
        <w:gridCol w:w="430"/>
        <w:gridCol w:w="60"/>
        <w:gridCol w:w="60"/>
        <w:gridCol w:w="163"/>
        <w:gridCol w:w="937"/>
        <w:gridCol w:w="60"/>
        <w:gridCol w:w="60"/>
        <w:gridCol w:w="378"/>
        <w:gridCol w:w="1232"/>
        <w:gridCol w:w="95"/>
        <w:gridCol w:w="60"/>
        <w:gridCol w:w="188"/>
        <w:gridCol w:w="1182"/>
        <w:gridCol w:w="95"/>
        <w:gridCol w:w="60"/>
        <w:gridCol w:w="210"/>
        <w:gridCol w:w="1137"/>
        <w:gridCol w:w="113"/>
      </w:tblGrid>
      <w:tr>
        <w:trPr/>
        <w:tc>
          <w:tcPr>
            <w:tcW w:w="1883" w:type="dxa"/>
            <w:tcBorders/>
            <w:shd w:fill="FFFFFF" w:val="clear"/>
            <w:vAlign w:val="center"/>
          </w:tcPr>
          <w:p>
            <w:pPr>
              <w:pStyle w:val="TableContents"/>
              <w:bidi w:val="0"/>
              <w:spacing w:before="0" w:after="283"/>
              <w:ind w:left="0" w:right="0" w:hanging="10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bookmarkStart w:id="171" w:name="xdx_4B4_us-gaap--StatementEquityComponen"/>
            <w:bookmarkEnd w:id="171"/>
          </w:p>
        </w:tc>
        <w:tc>
          <w:tcPr>
            <w:tcW w:w="43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bookmarkStart w:id="172" w:name="xdx_4B4_us-gaap--StatementEquityComponen"/>
            <w:bookmarkEnd w:id="172"/>
          </w:p>
        </w:tc>
        <w:tc>
          <w:tcPr>
            <w:tcW w:w="937"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bookmarkStart w:id="173" w:name="xdx_4BD_us-gaap--StatementEquityComponen"/>
            <w:bookmarkEnd w:id="173"/>
          </w:p>
        </w:tc>
        <w:tc>
          <w:tcPr>
            <w:tcW w:w="1232"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bookmarkStart w:id="174" w:name="xdx_4BF_us-gaap--StatementEquityComponen"/>
            <w:bookmarkEnd w:id="174"/>
          </w:p>
        </w:tc>
        <w:tc>
          <w:tcPr>
            <w:tcW w:w="1182"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bookmarkStart w:id="175" w:name="xdx_4BE_z7bzK0HqPpi5"/>
            <w:bookmarkEnd w:id="175"/>
          </w:p>
        </w:tc>
        <w:tc>
          <w:tcPr>
            <w:tcW w:w="1137" w:type="dxa"/>
            <w:tcBorders/>
            <w:shd w:fill="FFFFFF" w:val="clear"/>
            <w:vAlign w:val="center"/>
          </w:tcPr>
          <w:p>
            <w:pPr>
              <w:pStyle w:val="TableContents"/>
              <w:bidi w:val="0"/>
              <w:spacing w:before="0" w:after="283"/>
              <w:jc w:val="center"/>
              <w:rPr/>
            </w:pPr>
            <w:r>
              <w:rPr/>
              <w:t> </w:t>
            </w:r>
          </w:p>
        </w:tc>
        <w:tc>
          <w:tcPr>
            <w:tcW w:w="113" w:type="dxa"/>
            <w:tcBorders/>
            <w:shd w:fill="FFFFFF" w:val="clear"/>
            <w:vAlign w:val="center"/>
          </w:tcPr>
          <w:p>
            <w:pPr>
              <w:pStyle w:val="TableContents"/>
              <w:bidi w:val="0"/>
              <w:spacing w:before="0" w:after="283"/>
              <w:jc w:val="left"/>
              <w:rPr/>
            </w:pPr>
            <w:r>
              <w:rPr/>
              <w:t> </w:t>
            </w:r>
          </w:p>
        </w:tc>
      </w:tr>
      <w:tr>
        <w:trPr/>
        <w:tc>
          <w:tcPr>
            <w:tcW w:w="18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7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br/>
              <w:t>($0.0001 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br/>
              <w:t>Other</w:t>
              <w:b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7" w:type="dxa"/>
            <w:gridSpan w:val="2"/>
            <w:tcBorders/>
            <w:vAlign w:val="center"/>
          </w:tcPr>
          <w:p>
            <w:pPr>
              <w:pStyle w:val="TableContents"/>
              <w:bidi w:val="0"/>
              <w:spacing w:before="0" w:after="283"/>
              <w:jc w:val="center"/>
              <w:rPr>
                <w:b/>
              </w:rPr>
            </w:pPr>
            <w:r>
              <w:rPr>
                <w:b/>
              </w:rPr>
              <w:t>Total</w:t>
              <w:br/>
              <w:t>Stockholders’</w:t>
            </w:r>
          </w:p>
        </w:tc>
        <w:tc>
          <w:tcPr>
            <w:tcW w:w="113" w:type="dxa"/>
            <w:tcBorders/>
            <w:vAlign w:val="center"/>
          </w:tcPr>
          <w:p>
            <w:pPr>
              <w:pStyle w:val="TableContents"/>
              <w:bidi w:val="0"/>
              <w:spacing w:before="0" w:after="283"/>
              <w:jc w:val="left"/>
              <w:rPr/>
            </w:pPr>
            <w:r>
              <w:rPr/>
              <w:t> </w:t>
            </w:r>
          </w:p>
        </w:tc>
      </w:tr>
      <w:tr>
        <w:trPr/>
        <w:tc>
          <w:tcPr>
            <w:tcW w:w="18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3" w:type="dxa"/>
            <w:tcBorders/>
            <w:vAlign w:val="center"/>
          </w:tcPr>
          <w:p>
            <w:pPr>
              <w:pStyle w:val="TableContents"/>
              <w:bidi w:val="0"/>
              <w:spacing w:before="0" w:after="283"/>
              <w:ind w:left="0" w:right="0" w:hanging="100"/>
              <w:jc w:val="left"/>
              <w:rPr/>
            </w:pPr>
            <w:r>
              <w:rPr/>
              <w:t> </w:t>
            </w:r>
            <w:bookmarkStart w:id="176" w:name="xdx_43B_c20250401__20250630_eus-gaap--St"/>
            <w:bookmarkEnd w:id="176"/>
          </w:p>
        </w:tc>
      </w:tr>
      <w:tr>
        <w:trPr/>
        <w:tc>
          <w:tcPr>
            <w:tcW w:w="1883" w:type="dxa"/>
            <w:tcBorders/>
            <w:shd w:fill="CCEEFF" w:val="clear"/>
            <w:vAlign w:val="center"/>
          </w:tcPr>
          <w:p>
            <w:pPr>
              <w:pStyle w:val="TableContents"/>
              <w:bidi w:val="0"/>
              <w:spacing w:before="0" w:after="283"/>
              <w:jc w:val="left"/>
              <w:rPr>
                <w:b/>
              </w:rPr>
            </w:pPr>
            <w:r>
              <w:rPr>
                <w:b/>
              </w:rPr>
              <w:t>Balances at March 31, 2025</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177" w:name="xdx_987_eus-gaap--SharesOutstanding_iS_p"/>
            <w:bookmarkEnd w:id="177"/>
          </w:p>
        </w:tc>
        <w:tc>
          <w:tcPr>
            <w:tcW w:w="1129" w:type="dxa"/>
            <w:tcBorders/>
            <w:shd w:fill="CCEEFF" w:val="clear"/>
            <w:vAlign w:val="center"/>
          </w:tcPr>
          <w:p>
            <w:pPr>
              <w:pStyle w:val="TableContents"/>
              <w:bidi w:val="0"/>
              <w:spacing w:before="0" w:after="283"/>
              <w:jc w:val="right"/>
              <w:rPr/>
            </w:pPr>
            <w:r>
              <w:rPr/>
              <w:t>43,614,506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104,345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(123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(128,439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137" w:type="dxa"/>
            <w:tcBorders/>
            <w:shd w:fill="CCEEFF" w:val="clear"/>
            <w:vAlign w:val="center"/>
          </w:tcPr>
          <w:p>
            <w:pPr>
              <w:pStyle w:val="TableContents"/>
              <w:bidi w:val="0"/>
              <w:spacing w:before="0" w:after="283"/>
              <w:jc w:val="right"/>
              <w:rPr/>
            </w:pPr>
            <w:r>
              <w:rPr/>
              <w:t>(24,213</w:t>
            </w:r>
          </w:p>
        </w:tc>
        <w:tc>
          <w:tcPr>
            <w:tcW w:w="113" w:type="dxa"/>
            <w:tcBorders/>
            <w:shd w:fill="CCEEFF" w:val="clear"/>
            <w:vAlign w:val="center"/>
          </w:tcPr>
          <w:p>
            <w:pPr>
              <w:pStyle w:val="TableContents"/>
              <w:bidi w:val="0"/>
              <w:spacing w:before="0" w:after="283"/>
              <w:ind w:left="0" w:right="0" w:hanging="100"/>
              <w:jc w:val="left"/>
              <w:rPr/>
            </w:pPr>
            <w:r>
              <w:rPr/>
              <w:t>)</w:t>
            </w:r>
            <w:bookmarkStart w:id="178" w:name="xdx_400_eus-gaap--StockIssuedDuringPerio"/>
            <w:bookmarkEnd w:id="178"/>
          </w:p>
        </w:tc>
      </w:tr>
      <w:tr>
        <w:trPr/>
        <w:tc>
          <w:tcPr>
            <w:tcW w:w="1883" w:type="dxa"/>
            <w:tcBorders/>
            <w:shd w:fill="FFFFFF" w:val="clear"/>
            <w:vAlign w:val="center"/>
          </w:tcPr>
          <w:p>
            <w:pPr>
              <w:pStyle w:val="TableContents"/>
              <w:bidi w:val="0"/>
              <w:spacing w:before="0" w:after="283"/>
              <w:jc w:val="left"/>
              <w:rPr/>
            </w:pPr>
            <w:r>
              <w:rPr/>
              <w:t>Issuance of common stock resulting from the Consent Agreement</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179" w:name="xdx_987_eus-gaap--StockIssuedDuringPerio"/>
            <w:bookmarkEnd w:id="179"/>
          </w:p>
        </w:tc>
        <w:tc>
          <w:tcPr>
            <w:tcW w:w="1129" w:type="dxa"/>
            <w:tcBorders/>
            <w:shd w:fill="FFFFFF" w:val="clear"/>
            <w:vAlign w:val="center"/>
          </w:tcPr>
          <w:p>
            <w:pPr>
              <w:pStyle w:val="TableContents"/>
              <w:bidi w:val="0"/>
              <w:spacing w:before="0" w:after="283"/>
              <w:jc w:val="right"/>
              <w:rPr/>
            </w:pPr>
            <w:r>
              <w:rPr/>
              <w:t>34,000,000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10</w:t>
            </w:r>
          </w:p>
        </w:tc>
        <w:tc>
          <w:tcPr>
            <w:tcW w:w="113" w:type="dxa"/>
            <w:tcBorders/>
            <w:shd w:fill="FFFFFF" w:val="clear"/>
            <w:vAlign w:val="center"/>
          </w:tcPr>
          <w:p>
            <w:pPr>
              <w:pStyle w:val="TableContents"/>
              <w:bidi w:val="0"/>
              <w:spacing w:before="0" w:after="283"/>
              <w:ind w:left="0" w:right="0" w:hanging="100"/>
              <w:jc w:val="left"/>
              <w:rPr/>
            </w:pPr>
            <w:r>
              <w:rPr/>
              <w:t> </w:t>
            </w:r>
            <w:bookmarkStart w:id="180" w:name="xdx_401_eus-gaap--StockIssuedDuringPerio"/>
            <w:bookmarkEnd w:id="180"/>
          </w:p>
        </w:tc>
      </w:tr>
      <w:tr>
        <w:trPr/>
        <w:tc>
          <w:tcPr>
            <w:tcW w:w="1883" w:type="dxa"/>
            <w:tcBorders/>
            <w:shd w:fill="CCEEFF" w:val="clear"/>
            <w:vAlign w:val="center"/>
          </w:tcPr>
          <w:p>
            <w:pPr>
              <w:pStyle w:val="TableContents"/>
              <w:bidi w:val="0"/>
              <w:spacing w:before="0" w:after="283"/>
              <w:jc w:val="left"/>
              <w:rPr/>
            </w:pPr>
            <w:r>
              <w:rPr/>
              <w:t>Issuance of common stock resulting from the Conversion Agreements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181" w:name="xdx_98B_eus-gaap--StockIssuedDuringPerio"/>
            <w:bookmarkEnd w:id="181"/>
          </w:p>
        </w:tc>
        <w:tc>
          <w:tcPr>
            <w:tcW w:w="1129" w:type="dxa"/>
            <w:tcBorders/>
            <w:shd w:fill="CCEEFF" w:val="clear"/>
            <w:vAlign w:val="center"/>
          </w:tcPr>
          <w:p>
            <w:pPr>
              <w:pStyle w:val="TableContents"/>
              <w:bidi w:val="0"/>
              <w:spacing w:before="0" w:after="283"/>
              <w:jc w:val="right"/>
              <w:rPr/>
            </w:pPr>
            <w:r>
              <w:rPr/>
              <w:t>15,347,000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2,116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2,118</w:t>
            </w:r>
          </w:p>
        </w:tc>
        <w:tc>
          <w:tcPr>
            <w:tcW w:w="113" w:type="dxa"/>
            <w:tcBorders/>
            <w:shd w:fill="CCEEFF" w:val="clear"/>
            <w:vAlign w:val="center"/>
          </w:tcPr>
          <w:p>
            <w:pPr>
              <w:pStyle w:val="TableContents"/>
              <w:bidi w:val="0"/>
              <w:spacing w:before="0" w:after="283"/>
              <w:jc w:val="left"/>
              <w:rPr/>
            </w:pPr>
            <w:r>
              <w:rPr/>
              <w:t> </w:t>
            </w:r>
            <w:bookmarkStart w:id="182" w:name="xdx_400_eus-gaap--AdjustmentsToAdditiona"/>
            <w:bookmarkEnd w:id="182"/>
          </w:p>
        </w:tc>
      </w:tr>
      <w:tr>
        <w:trPr/>
        <w:tc>
          <w:tcPr>
            <w:tcW w:w="1883"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30</w:t>
            </w:r>
          </w:p>
        </w:tc>
        <w:tc>
          <w:tcPr>
            <w:tcW w:w="113" w:type="dxa"/>
            <w:tcBorders/>
            <w:shd w:fill="FFFFFF" w:val="clear"/>
            <w:vAlign w:val="center"/>
          </w:tcPr>
          <w:p>
            <w:pPr>
              <w:pStyle w:val="TableContents"/>
              <w:bidi w:val="0"/>
              <w:spacing w:before="0" w:after="283"/>
              <w:jc w:val="left"/>
              <w:rPr/>
            </w:pPr>
            <w:r>
              <w:rPr/>
              <w:t> </w:t>
            </w:r>
            <w:bookmarkStart w:id="183" w:name="xdx_401_eus-gaap--NetIncomeLoss_zUz6KDO6"/>
            <w:bookmarkEnd w:id="183"/>
          </w:p>
        </w:tc>
      </w:tr>
      <w:tr>
        <w:trPr/>
        <w:tc>
          <w:tcPr>
            <w:tcW w:w="1883"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2,700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2,700</w:t>
            </w:r>
          </w:p>
        </w:tc>
        <w:tc>
          <w:tcPr>
            <w:tcW w:w="113" w:type="dxa"/>
            <w:tcBorders/>
            <w:shd w:fill="CCEEFF" w:val="clear"/>
            <w:vAlign w:val="center"/>
          </w:tcPr>
          <w:p>
            <w:pPr>
              <w:pStyle w:val="TableContents"/>
              <w:bidi w:val="0"/>
              <w:spacing w:before="0" w:after="283"/>
              <w:jc w:val="left"/>
              <w:rPr/>
            </w:pPr>
            <w:r>
              <w:rPr/>
              <w:t> </w:t>
            </w:r>
          </w:p>
        </w:tc>
      </w:tr>
      <w:tr>
        <w:trPr/>
        <w:tc>
          <w:tcPr>
            <w:tcW w:w="18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84" w:name="xdx_406_eus-gaap--OtherComprehensiveInco"/>
            <w:bookmarkEnd w:id="184"/>
          </w:p>
        </w:tc>
      </w:tr>
      <w:tr>
        <w:trPr/>
        <w:tc>
          <w:tcPr>
            <w:tcW w:w="1883" w:type="dxa"/>
            <w:tcBorders/>
            <w:shd w:fill="CCEEFF" w:val="clear"/>
            <w:vAlign w:val="center"/>
          </w:tcPr>
          <w:p>
            <w:pPr>
              <w:pStyle w:val="TableContents"/>
              <w:bidi w:val="0"/>
              <w:spacing w:before="0" w:after="283"/>
              <w:jc w:val="left"/>
              <w:rPr/>
            </w:pPr>
            <w:r>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7" w:type="dxa"/>
            <w:tcBorders>
              <w:bottom w:val="single" w:sz="8" w:space="0" w:color="000000"/>
            </w:tcBorders>
            <w:shd w:fill="CCEEFF" w:val="clear"/>
            <w:tcMar>
              <w:bottom w:w="28" w:type="dxa"/>
            </w:tcMar>
            <w:vAlign w:val="center"/>
          </w:tcPr>
          <w:p>
            <w:pPr>
              <w:pStyle w:val="TableContents"/>
              <w:bidi w:val="0"/>
              <w:spacing w:before="0" w:after="283"/>
              <w:jc w:val="right"/>
              <w:rPr/>
            </w:pPr>
            <w:r>
              <w:rPr/>
              <w:t>(8</w:t>
            </w:r>
          </w:p>
        </w:tc>
        <w:tc>
          <w:tcPr>
            <w:tcW w:w="113" w:type="dxa"/>
            <w:tcBorders/>
            <w:shd w:fill="CCEEFF" w:val="clear"/>
            <w:vAlign w:val="center"/>
          </w:tcPr>
          <w:p>
            <w:pPr>
              <w:pStyle w:val="TableContents"/>
              <w:bidi w:val="0"/>
              <w:spacing w:before="0" w:after="283"/>
              <w:ind w:left="0" w:right="0" w:hanging="100"/>
              <w:jc w:val="left"/>
              <w:rPr/>
            </w:pPr>
            <w:r>
              <w:rPr/>
              <w:t>)</w:t>
            </w:r>
            <w:bookmarkStart w:id="185" w:name="xdx_43A_c20250401__20250630_eus-gaap--St"/>
            <w:bookmarkEnd w:id="185"/>
          </w:p>
        </w:tc>
      </w:tr>
      <w:tr>
        <w:trPr/>
        <w:tc>
          <w:tcPr>
            <w:tcW w:w="1883" w:type="dxa"/>
            <w:tcBorders/>
            <w:shd w:fill="FFFFFF" w:val="clear"/>
            <w:vAlign w:val="center"/>
          </w:tcPr>
          <w:p>
            <w:pPr>
              <w:pStyle w:val="TableContents"/>
              <w:bidi w:val="0"/>
              <w:spacing w:before="0" w:after="283"/>
              <w:jc w:val="left"/>
              <w:rPr>
                <w:b/>
              </w:rPr>
            </w:pPr>
            <w:r>
              <w:rPr>
                <w:b/>
              </w:rPr>
              <w:t>Balances at June 30, 2025</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86" w:name="xdx_984_eus-gaap--SharesOutstanding_iE_p"/>
            <w:bookmarkEnd w:id="186"/>
          </w:p>
        </w:tc>
        <w:tc>
          <w:tcPr>
            <w:tcW w:w="1129" w:type="dxa"/>
            <w:tcBorders>
              <w:bottom w:val="double" w:sz="6" w:space="0" w:color="000000"/>
            </w:tcBorders>
            <w:shd w:fill="FFFFFF" w:val="clear"/>
            <w:tcMar>
              <w:bottom w:w="28" w:type="dxa"/>
            </w:tcMar>
            <w:vAlign w:val="center"/>
          </w:tcPr>
          <w:p>
            <w:pPr>
              <w:pStyle w:val="TableContents"/>
              <w:bidi w:val="0"/>
              <w:spacing w:before="0" w:after="283"/>
              <w:jc w:val="right"/>
              <w:rPr/>
            </w:pPr>
            <w:r>
              <w:rPr/>
              <w:t>92,961,506</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pPr>
            <w:r>
              <w:rPr/>
              <w:t>106,498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2" w:type="dxa"/>
            <w:tcBorders>
              <w:bottom w:val="double" w:sz="6" w:space="0" w:color="000000"/>
            </w:tcBorders>
            <w:shd w:fill="FFFFFF" w:val="clear"/>
            <w:tcMar>
              <w:bottom w:w="28" w:type="dxa"/>
            </w:tcMar>
            <w:vAlign w:val="center"/>
          </w:tcPr>
          <w:p>
            <w:pPr>
              <w:pStyle w:val="TableContents"/>
              <w:bidi w:val="0"/>
              <w:spacing w:before="0" w:after="283"/>
              <w:jc w:val="right"/>
              <w:rPr/>
            </w:pPr>
            <w:r>
              <w:rPr/>
              <w:t>(131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pPr>
            <w:r>
              <w:rPr/>
              <w:t>(125,739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7" w:type="dxa"/>
            <w:tcBorders>
              <w:bottom w:val="double" w:sz="6" w:space="0" w:color="000000"/>
            </w:tcBorders>
            <w:shd w:fill="FFFFFF" w:val="clear"/>
            <w:tcMar>
              <w:bottom w:w="28" w:type="dxa"/>
            </w:tcMar>
            <w:vAlign w:val="center"/>
          </w:tcPr>
          <w:p>
            <w:pPr>
              <w:pStyle w:val="TableContents"/>
              <w:bidi w:val="0"/>
              <w:spacing w:before="0" w:after="283"/>
              <w:jc w:val="right"/>
              <w:rPr/>
            </w:pPr>
            <w:r>
              <w:rPr/>
              <w:t>(19,363</w:t>
            </w:r>
          </w:p>
        </w:tc>
        <w:tc>
          <w:tcPr>
            <w:tcW w:w="113"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six months ended June 30, 2025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83"/>
        <w:gridCol w:w="60"/>
        <w:gridCol w:w="61"/>
        <w:gridCol w:w="1129"/>
        <w:gridCol w:w="61"/>
        <w:gridCol w:w="61"/>
        <w:gridCol w:w="430"/>
        <w:gridCol w:w="430"/>
        <w:gridCol w:w="60"/>
        <w:gridCol w:w="60"/>
        <w:gridCol w:w="163"/>
        <w:gridCol w:w="937"/>
        <w:gridCol w:w="60"/>
        <w:gridCol w:w="60"/>
        <w:gridCol w:w="378"/>
        <w:gridCol w:w="1232"/>
        <w:gridCol w:w="95"/>
        <w:gridCol w:w="60"/>
        <w:gridCol w:w="188"/>
        <w:gridCol w:w="1182"/>
        <w:gridCol w:w="95"/>
        <w:gridCol w:w="60"/>
        <w:gridCol w:w="210"/>
        <w:gridCol w:w="1137"/>
        <w:gridCol w:w="113"/>
      </w:tblGrid>
      <w:tr>
        <w:trPr/>
        <w:tc>
          <w:tcPr>
            <w:tcW w:w="18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17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Common Stock</w:t>
              <w:br/>
              <w:t>($0.0001 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w:t>
              <w:br/>
              <w:t>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vAlign w:val="center"/>
          </w:tcPr>
          <w:p>
            <w:pPr>
              <w:pStyle w:val="TableContents"/>
              <w:bidi w:val="0"/>
              <w:spacing w:before="0" w:after="283"/>
              <w:jc w:val="center"/>
              <w:rPr>
                <w:b/>
              </w:rPr>
            </w:pPr>
            <w:r>
              <w:rPr>
                <w:b/>
              </w:rPr>
              <w:t>Accumulated</w:t>
              <w:br/>
              <w:t>Other</w:t>
              <w:br/>
              <w:t>Comprehensive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7" w:type="dxa"/>
            <w:gridSpan w:val="2"/>
            <w:tcBorders/>
            <w:vAlign w:val="center"/>
          </w:tcPr>
          <w:p>
            <w:pPr>
              <w:pStyle w:val="TableContents"/>
              <w:bidi w:val="0"/>
              <w:spacing w:before="0" w:after="283"/>
              <w:jc w:val="center"/>
              <w:rPr>
                <w:b/>
              </w:rPr>
            </w:pPr>
            <w:r>
              <w:rPr>
                <w:b/>
              </w:rPr>
              <w:t>Total</w:t>
              <w:br/>
              <w:t>Stockholders’</w:t>
            </w:r>
          </w:p>
        </w:tc>
        <w:tc>
          <w:tcPr>
            <w:tcW w:w="113" w:type="dxa"/>
            <w:tcBorders/>
            <w:vAlign w:val="center"/>
          </w:tcPr>
          <w:p>
            <w:pPr>
              <w:pStyle w:val="TableContents"/>
              <w:bidi w:val="0"/>
              <w:spacing w:before="0" w:after="283"/>
              <w:jc w:val="left"/>
              <w:rPr/>
            </w:pPr>
            <w:r>
              <w:rPr/>
              <w:t> </w:t>
            </w:r>
          </w:p>
        </w:tc>
      </w:tr>
      <w:tr>
        <w:trPr/>
        <w:tc>
          <w:tcPr>
            <w:tcW w:w="18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1" w:type="dxa"/>
            <w:tcBorders/>
            <w:vAlign w:val="center"/>
          </w:tcPr>
          <w:p>
            <w:pPr>
              <w:pStyle w:val="TableContents"/>
              <w:bidi w:val="0"/>
              <w:spacing w:before="0" w:after="283"/>
              <w:jc w:val="left"/>
              <w:rPr/>
            </w:pPr>
            <w:r>
              <w:rPr/>
              <w:t> </w:t>
            </w:r>
          </w:p>
        </w:tc>
        <w:tc>
          <w:tcPr>
            <w:tcW w:w="61"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Loss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113" w:type="dxa"/>
            <w:tcBorders/>
            <w:vAlign w:val="center"/>
          </w:tcPr>
          <w:p>
            <w:pPr>
              <w:pStyle w:val="TableContents"/>
              <w:bidi w:val="0"/>
              <w:spacing w:before="0" w:after="283"/>
              <w:jc w:val="left"/>
              <w:rPr/>
            </w:pPr>
            <w:r>
              <w:rPr/>
              <w:t> </w:t>
            </w:r>
            <w:bookmarkStart w:id="187" w:name="xdx_43E_c20250101__20250630_eus-gaap--St"/>
            <w:bookmarkEnd w:id="187"/>
          </w:p>
        </w:tc>
      </w:tr>
      <w:tr>
        <w:trPr/>
        <w:tc>
          <w:tcPr>
            <w:tcW w:w="1883" w:type="dxa"/>
            <w:tcBorders/>
            <w:shd w:fill="CCEEFF" w:val="clear"/>
            <w:vAlign w:val="center"/>
          </w:tcPr>
          <w:p>
            <w:pPr>
              <w:pStyle w:val="TableContents"/>
              <w:bidi w:val="0"/>
              <w:spacing w:before="0" w:after="283"/>
              <w:jc w:val="left"/>
              <w:rPr>
                <w:b/>
              </w:rPr>
            </w:pPr>
            <w:r>
              <w:rPr>
                <w:b/>
              </w:rPr>
              <w:t>Balances at December 31, 2024</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188" w:name="xdx_985_eus-gaap--SharesOutstanding_iS_p"/>
            <w:bookmarkEnd w:id="188"/>
          </w:p>
        </w:tc>
        <w:tc>
          <w:tcPr>
            <w:tcW w:w="1129" w:type="dxa"/>
            <w:tcBorders/>
            <w:shd w:fill="CCEEFF" w:val="clear"/>
            <w:vAlign w:val="center"/>
          </w:tcPr>
          <w:p>
            <w:pPr>
              <w:pStyle w:val="TableContents"/>
              <w:bidi w:val="0"/>
              <w:spacing w:before="0" w:after="283"/>
              <w:jc w:val="right"/>
              <w:rPr/>
            </w:pPr>
            <w:r>
              <w:rPr/>
              <w:t>43,589,506</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w:t>
            </w:r>
          </w:p>
        </w:tc>
        <w:tc>
          <w:tcPr>
            <w:tcW w:w="430"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w:t>
            </w:r>
          </w:p>
        </w:tc>
        <w:tc>
          <w:tcPr>
            <w:tcW w:w="937" w:type="dxa"/>
            <w:tcBorders/>
            <w:shd w:fill="CCEEFF" w:val="clear"/>
            <w:vAlign w:val="center"/>
          </w:tcPr>
          <w:p>
            <w:pPr>
              <w:pStyle w:val="TableContents"/>
              <w:bidi w:val="0"/>
              <w:spacing w:before="0" w:after="283"/>
              <w:jc w:val="right"/>
              <w:rPr/>
            </w:pPr>
            <w:r>
              <w:rPr/>
              <w:t>104,301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w:t>
            </w:r>
          </w:p>
        </w:tc>
        <w:tc>
          <w:tcPr>
            <w:tcW w:w="1232" w:type="dxa"/>
            <w:tcBorders/>
            <w:shd w:fill="CCEEFF" w:val="clear"/>
            <w:vAlign w:val="center"/>
          </w:tcPr>
          <w:p>
            <w:pPr>
              <w:pStyle w:val="TableContents"/>
              <w:bidi w:val="0"/>
              <w:spacing w:before="0" w:after="283"/>
              <w:jc w:val="right"/>
              <w:rPr/>
            </w:pPr>
            <w:r>
              <w:rPr/>
              <w:t>(109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w:t>
            </w:r>
          </w:p>
        </w:tc>
        <w:tc>
          <w:tcPr>
            <w:tcW w:w="1182" w:type="dxa"/>
            <w:tcBorders/>
            <w:shd w:fill="CCEEFF" w:val="clear"/>
            <w:vAlign w:val="center"/>
          </w:tcPr>
          <w:p>
            <w:pPr>
              <w:pStyle w:val="TableContents"/>
              <w:bidi w:val="0"/>
              <w:spacing w:before="0" w:after="283"/>
              <w:jc w:val="right"/>
              <w:rPr/>
            </w:pPr>
            <w:r>
              <w:rPr/>
              <w:t>(127,669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w:t>
            </w:r>
          </w:p>
        </w:tc>
        <w:tc>
          <w:tcPr>
            <w:tcW w:w="1137" w:type="dxa"/>
            <w:tcBorders/>
            <w:shd w:fill="CCEEFF" w:val="clear"/>
            <w:vAlign w:val="center"/>
          </w:tcPr>
          <w:p>
            <w:pPr>
              <w:pStyle w:val="TableContents"/>
              <w:bidi w:val="0"/>
              <w:spacing w:before="0" w:after="283"/>
              <w:jc w:val="right"/>
              <w:rPr/>
            </w:pPr>
            <w:r>
              <w:rPr/>
              <w:t>(23,473</w:t>
            </w:r>
          </w:p>
        </w:tc>
        <w:tc>
          <w:tcPr>
            <w:tcW w:w="113" w:type="dxa"/>
            <w:tcBorders/>
            <w:shd w:fill="CCEEFF" w:val="clear"/>
            <w:vAlign w:val="center"/>
          </w:tcPr>
          <w:p>
            <w:pPr>
              <w:pStyle w:val="TableContents"/>
              <w:bidi w:val="0"/>
              <w:spacing w:before="0" w:after="283"/>
              <w:jc w:val="left"/>
              <w:rPr/>
            </w:pPr>
            <w:r>
              <w:rPr/>
              <w:t>)</w:t>
            </w:r>
          </w:p>
        </w:tc>
      </w:tr>
      <w:tr>
        <w:trPr/>
        <w:tc>
          <w:tcPr>
            <w:tcW w:w="18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89" w:name="xdx_401_eus-gaap--StockIssuedDuringPerio"/>
            <w:bookmarkEnd w:id="189"/>
          </w:p>
        </w:tc>
      </w:tr>
      <w:tr>
        <w:trPr/>
        <w:tc>
          <w:tcPr>
            <w:tcW w:w="1883" w:type="dxa"/>
            <w:tcBorders/>
            <w:shd w:fill="CCEEFF" w:val="clear"/>
            <w:vAlign w:val="center"/>
          </w:tcPr>
          <w:p>
            <w:pPr>
              <w:pStyle w:val="TableContents"/>
              <w:bidi w:val="0"/>
              <w:spacing w:before="0" w:after="283"/>
              <w:jc w:val="left"/>
              <w:rPr/>
            </w:pPr>
            <w:r>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190" w:name="xdx_989_eus-gaap--StockIssuedDuringPerio"/>
            <w:bookmarkEnd w:id="190"/>
          </w:p>
        </w:tc>
        <w:tc>
          <w:tcPr>
            <w:tcW w:w="1129" w:type="dxa"/>
            <w:tcBorders/>
            <w:shd w:fill="CCEEFF" w:val="clear"/>
            <w:vAlign w:val="center"/>
          </w:tcPr>
          <w:p>
            <w:pPr>
              <w:pStyle w:val="TableContents"/>
              <w:bidi w:val="0"/>
              <w:spacing w:before="0" w:after="283"/>
              <w:jc w:val="right"/>
              <w:rPr/>
            </w:pPr>
            <w:r>
              <w:rPr/>
              <w:t>25,000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bookmarkStart w:id="191" w:name="xdx_400_eus-gaap--AdjustmentsToAdditiona"/>
            <w:bookmarkEnd w:id="191"/>
          </w:p>
        </w:tc>
      </w:tr>
      <w:tr>
        <w:trPr/>
        <w:tc>
          <w:tcPr>
            <w:tcW w:w="1883" w:type="dxa"/>
            <w:tcBorders/>
            <w:shd w:fill="FFFFFF" w:val="clear"/>
            <w:vAlign w:val="center"/>
          </w:tcPr>
          <w:p>
            <w:pPr>
              <w:pStyle w:val="TableContents"/>
              <w:bidi w:val="0"/>
              <w:spacing w:before="0" w:after="283"/>
              <w:jc w:val="left"/>
              <w:rPr/>
            </w:pPr>
            <w:r>
              <w:rPr/>
              <w:t>Stock-based compensation expense</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74</w:t>
            </w:r>
          </w:p>
        </w:tc>
        <w:tc>
          <w:tcPr>
            <w:tcW w:w="113" w:type="dxa"/>
            <w:tcBorders/>
            <w:shd w:fill="FFFFFF" w:val="clear"/>
            <w:vAlign w:val="center"/>
          </w:tcPr>
          <w:p>
            <w:pPr>
              <w:pStyle w:val="TableContents"/>
              <w:bidi w:val="0"/>
              <w:spacing w:before="0" w:after="283"/>
              <w:ind w:left="0" w:right="0" w:hanging="100"/>
              <w:jc w:val="left"/>
              <w:rPr/>
            </w:pPr>
            <w:r>
              <w:rPr/>
              <w:t> </w:t>
            </w:r>
            <w:bookmarkStart w:id="192" w:name="xdx_40E_eus-gaap--StockIssuedDuringPerio"/>
            <w:bookmarkEnd w:id="192"/>
          </w:p>
        </w:tc>
      </w:tr>
      <w:tr>
        <w:trPr/>
        <w:tc>
          <w:tcPr>
            <w:tcW w:w="1883" w:type="dxa"/>
            <w:tcBorders/>
            <w:shd w:fill="CCEEFF" w:val="clear"/>
            <w:vAlign w:val="center"/>
          </w:tcPr>
          <w:p>
            <w:pPr>
              <w:pStyle w:val="TableContents"/>
              <w:bidi w:val="0"/>
              <w:spacing w:before="0" w:after="283"/>
              <w:jc w:val="left"/>
              <w:rPr/>
            </w:pPr>
            <w:r>
              <w:rPr/>
              <w:t>Issuance of common stock resulting from the Consent Agreement</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bookmarkStart w:id="193" w:name="xdx_983_eus-gaap--StockIssuedDuringPerio"/>
            <w:bookmarkEnd w:id="193"/>
          </w:p>
        </w:tc>
        <w:tc>
          <w:tcPr>
            <w:tcW w:w="1129" w:type="dxa"/>
            <w:tcBorders/>
            <w:shd w:fill="CCEEFF" w:val="clear"/>
            <w:vAlign w:val="center"/>
          </w:tcPr>
          <w:p>
            <w:pPr>
              <w:pStyle w:val="TableContents"/>
              <w:bidi w:val="0"/>
              <w:spacing w:before="0" w:after="283"/>
              <w:jc w:val="right"/>
              <w:rPr/>
            </w:pPr>
            <w:r>
              <w:rPr/>
              <w:t>34,000,000</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10</w:t>
            </w:r>
          </w:p>
        </w:tc>
        <w:tc>
          <w:tcPr>
            <w:tcW w:w="113" w:type="dxa"/>
            <w:tcBorders/>
            <w:shd w:fill="CCEEFF" w:val="clear"/>
            <w:vAlign w:val="center"/>
          </w:tcPr>
          <w:p>
            <w:pPr>
              <w:pStyle w:val="TableContents"/>
              <w:bidi w:val="0"/>
              <w:spacing w:before="0" w:after="283"/>
              <w:ind w:left="0" w:right="0" w:hanging="100"/>
              <w:jc w:val="left"/>
              <w:rPr/>
            </w:pPr>
            <w:r>
              <w:rPr/>
              <w:t> </w:t>
            </w:r>
            <w:bookmarkStart w:id="194" w:name="xdx_401_eus-gaap--StockIssuedDuringPerio"/>
            <w:bookmarkEnd w:id="194"/>
          </w:p>
        </w:tc>
      </w:tr>
      <w:tr>
        <w:trPr/>
        <w:tc>
          <w:tcPr>
            <w:tcW w:w="1883" w:type="dxa"/>
            <w:tcBorders/>
            <w:shd w:fill="FFFFFF" w:val="clear"/>
            <w:vAlign w:val="center"/>
          </w:tcPr>
          <w:p>
            <w:pPr>
              <w:pStyle w:val="TableContents"/>
              <w:bidi w:val="0"/>
              <w:spacing w:before="0" w:after="283"/>
              <w:jc w:val="left"/>
              <w:rPr/>
            </w:pPr>
            <w:r>
              <w:rPr/>
              <w:t>Issuance of common stock resulting from the Conversion Agreements</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bookmarkStart w:id="195" w:name="xdx_98D_eus-gaap--StockIssuedDuringPerio"/>
            <w:bookmarkEnd w:id="195"/>
          </w:p>
        </w:tc>
        <w:tc>
          <w:tcPr>
            <w:tcW w:w="1129" w:type="dxa"/>
            <w:tcBorders/>
            <w:shd w:fill="FFFFFF" w:val="clear"/>
            <w:vAlign w:val="center"/>
          </w:tcPr>
          <w:p>
            <w:pPr>
              <w:pStyle w:val="TableContents"/>
              <w:bidi w:val="0"/>
              <w:spacing w:before="0" w:after="283"/>
              <w:jc w:val="right"/>
              <w:rPr/>
            </w:pPr>
            <w:r>
              <w:rPr/>
              <w:t>15,347,000</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2,116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2,118</w:t>
            </w:r>
          </w:p>
        </w:tc>
        <w:tc>
          <w:tcPr>
            <w:tcW w:w="113" w:type="dxa"/>
            <w:tcBorders/>
            <w:shd w:fill="FFFFFF" w:val="clear"/>
            <w:vAlign w:val="center"/>
          </w:tcPr>
          <w:p>
            <w:pPr>
              <w:pStyle w:val="TableContents"/>
              <w:bidi w:val="0"/>
              <w:spacing w:before="0" w:after="283"/>
              <w:jc w:val="left"/>
              <w:rPr/>
            </w:pPr>
            <w:r>
              <w:rPr/>
              <w:t> </w:t>
            </w:r>
            <w:bookmarkStart w:id="196" w:name="xdx_401_eus-gaap--NetIncomeLoss_zO1zQfxZ"/>
            <w:bookmarkEnd w:id="196"/>
          </w:p>
        </w:tc>
      </w:tr>
      <w:tr>
        <w:trPr/>
        <w:tc>
          <w:tcPr>
            <w:tcW w:w="1883" w:type="dxa"/>
            <w:tcBorders/>
            <w:shd w:fill="CCEEFF" w:val="clear"/>
            <w:vAlign w:val="center"/>
          </w:tcPr>
          <w:p>
            <w:pPr>
              <w:pStyle w:val="TableContents"/>
              <w:bidi w:val="0"/>
              <w:spacing w:before="0" w:after="283"/>
              <w:jc w:val="left"/>
              <w:rPr/>
            </w:pPr>
            <w:r>
              <w:rPr/>
              <w:t>Net income</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129" w:type="dxa"/>
            <w:tcBorders/>
            <w:shd w:fill="CCEEFF" w:val="cle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left"/>
              <w:rPr/>
            </w:pPr>
            <w:r>
              <w:rPr/>
              <w:t> </w:t>
            </w:r>
          </w:p>
        </w:tc>
        <w:tc>
          <w:tcPr>
            <w:tcW w:w="43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jc w:val="left"/>
              <w:rPr/>
            </w:pPr>
            <w:r>
              <w:rPr/>
              <w:t> </w:t>
            </w:r>
          </w:p>
        </w:tc>
        <w:tc>
          <w:tcPr>
            <w:tcW w:w="937"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shd w:fill="CCEEFF" w:val="clear"/>
            <w:vAlign w:val="center"/>
          </w:tcPr>
          <w:p>
            <w:pPr>
              <w:pStyle w:val="TableContents"/>
              <w:bidi w:val="0"/>
              <w:spacing w:before="0" w:after="283"/>
              <w:jc w:val="left"/>
              <w:rPr/>
            </w:pPr>
            <w:r>
              <w:rPr/>
              <w:t> </w:t>
            </w:r>
          </w:p>
        </w:tc>
        <w:tc>
          <w:tcPr>
            <w:tcW w:w="123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1,930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jc w:val="left"/>
              <w:rPr/>
            </w:pPr>
            <w:r>
              <w:rPr/>
              <w:t> </w:t>
            </w:r>
          </w:p>
        </w:tc>
        <w:tc>
          <w:tcPr>
            <w:tcW w:w="1137" w:type="dxa"/>
            <w:tcBorders/>
            <w:shd w:fill="CCEEFF" w:val="clear"/>
            <w:vAlign w:val="center"/>
          </w:tcPr>
          <w:p>
            <w:pPr>
              <w:pStyle w:val="TableContents"/>
              <w:bidi w:val="0"/>
              <w:spacing w:before="0" w:after="283"/>
              <w:jc w:val="right"/>
              <w:rPr/>
            </w:pPr>
            <w:r>
              <w:rPr/>
              <w:t>1,930</w:t>
            </w:r>
          </w:p>
        </w:tc>
        <w:tc>
          <w:tcPr>
            <w:tcW w:w="113" w:type="dxa"/>
            <w:tcBorders/>
            <w:shd w:fill="CCEEFF" w:val="clear"/>
            <w:vAlign w:val="center"/>
          </w:tcPr>
          <w:p>
            <w:pPr>
              <w:pStyle w:val="TableContents"/>
              <w:bidi w:val="0"/>
              <w:spacing w:before="0" w:after="283"/>
              <w:jc w:val="left"/>
              <w:rPr/>
            </w:pPr>
            <w:r>
              <w:rPr/>
              <w:t> </w:t>
            </w:r>
          </w:p>
        </w:tc>
      </w:tr>
      <w:tr>
        <w:trPr/>
        <w:tc>
          <w:tcPr>
            <w:tcW w:w="188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129" w:type="dxa"/>
            <w:tcBorders/>
            <w:shd w:fill="FFFFFF" w:val="clear"/>
            <w:vAlign w:val="center"/>
          </w:tcPr>
          <w:p>
            <w:pPr>
              <w:pStyle w:val="TableContents"/>
              <w:bidi w:val="0"/>
              <w:spacing w:before="0" w:after="283"/>
              <w:jc w:val="right"/>
              <w:rPr/>
            </w:pPr>
            <w:r>
              <w:rPr/>
              <w:t> </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left"/>
              <w:rPr/>
            </w:pPr>
            <w:r>
              <w:rPr/>
              <w:t> </w:t>
            </w:r>
          </w:p>
        </w:tc>
        <w:tc>
          <w:tcPr>
            <w:tcW w:w="43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jc w:val="left"/>
              <w:rPr/>
            </w:pPr>
            <w:r>
              <w:rPr/>
              <w:t> </w:t>
            </w:r>
          </w:p>
        </w:tc>
        <w:tc>
          <w:tcPr>
            <w:tcW w:w="9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shd w:fill="FFFFFF" w:val="clear"/>
            <w:vAlign w:val="center"/>
          </w:tcPr>
          <w:p>
            <w:pPr>
              <w:pStyle w:val="TableContents"/>
              <w:bidi w:val="0"/>
              <w:spacing w:before="0" w:after="283"/>
              <w:jc w:val="left"/>
              <w:rPr/>
            </w:pPr>
            <w:r>
              <w:rPr/>
              <w:t> </w:t>
            </w:r>
          </w:p>
        </w:tc>
        <w:tc>
          <w:tcPr>
            <w:tcW w:w="123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137"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jc w:val="left"/>
              <w:rPr/>
            </w:pPr>
            <w:r>
              <w:rPr/>
              <w:t> </w:t>
            </w:r>
            <w:bookmarkStart w:id="197" w:name="xdx_40A_eus-gaap--OtherComprehensiveInco"/>
            <w:bookmarkEnd w:id="197"/>
          </w:p>
        </w:tc>
      </w:tr>
      <w:tr>
        <w:trPr/>
        <w:tc>
          <w:tcPr>
            <w:tcW w:w="1883" w:type="dxa"/>
            <w:tcBorders/>
            <w:shd w:fill="CCEEFF" w:val="clear"/>
            <w:vAlign w:val="center"/>
          </w:tcPr>
          <w:p>
            <w:pPr>
              <w:pStyle w:val="TableContents"/>
              <w:bidi w:val="0"/>
              <w:spacing w:before="0" w:after="283"/>
              <w:jc w:val="left"/>
              <w:rPr/>
            </w:pPr>
            <w:r>
              <w:rPr/>
              <w:t>Cumulative translation adjustment</w:t>
            </w:r>
          </w:p>
        </w:tc>
        <w:tc>
          <w:tcPr>
            <w:tcW w:w="60" w:type="dxa"/>
            <w:tcBorders/>
            <w:shd w:fill="CCEEFF" w:val="clear"/>
            <w:vAlign w:val="center"/>
          </w:tcPr>
          <w:p>
            <w:pPr>
              <w:pStyle w:val="TableContents"/>
              <w:bidi w:val="0"/>
              <w:spacing w:before="0" w:after="283"/>
              <w:jc w:val="left"/>
              <w:rPr/>
            </w:pPr>
            <w:r>
              <w:rPr/>
              <w:t> </w:t>
            </w:r>
          </w:p>
        </w:tc>
        <w:tc>
          <w:tcPr>
            <w:tcW w:w="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1"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3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2" w:type="dxa"/>
            <w:tcBorders>
              <w:bottom w:val="single" w:sz="8" w:space="0" w:color="000000"/>
            </w:tcBorders>
            <w:shd w:fill="CCEEFF" w:val="clear"/>
            <w:tcMar>
              <w:bottom w:w="28" w:type="dxa"/>
            </w:tcMar>
            <w:vAlign w:val="center"/>
          </w:tcPr>
          <w:p>
            <w:pPr>
              <w:pStyle w:val="TableContents"/>
              <w:bidi w:val="0"/>
              <w:spacing w:before="0" w:after="283"/>
              <w:jc w:val="right"/>
              <w:rPr/>
            </w:pPr>
            <w:r>
              <w:rPr/>
              <w:t>(22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37" w:type="dxa"/>
            <w:tcBorders>
              <w:bottom w:val="single" w:sz="8" w:space="0" w:color="000000"/>
            </w:tcBorders>
            <w:shd w:fill="CCEEFF" w:val="clear"/>
            <w:tcMar>
              <w:bottom w:w="28" w:type="dxa"/>
            </w:tcMar>
            <w:vAlign w:val="center"/>
          </w:tcPr>
          <w:p>
            <w:pPr>
              <w:pStyle w:val="TableContents"/>
              <w:bidi w:val="0"/>
              <w:spacing w:before="0" w:after="283"/>
              <w:jc w:val="right"/>
              <w:rPr/>
            </w:pPr>
            <w:r>
              <w:rPr/>
              <w:t>(22</w:t>
            </w:r>
          </w:p>
        </w:tc>
        <w:tc>
          <w:tcPr>
            <w:tcW w:w="113" w:type="dxa"/>
            <w:tcBorders/>
            <w:shd w:fill="CCEEFF" w:val="clear"/>
            <w:vAlign w:val="center"/>
          </w:tcPr>
          <w:p>
            <w:pPr>
              <w:pStyle w:val="TableContents"/>
              <w:bidi w:val="0"/>
              <w:spacing w:before="0" w:after="283"/>
              <w:jc w:val="left"/>
              <w:rPr/>
            </w:pPr>
            <w:r>
              <w:rPr/>
              <w:t>)</w:t>
            </w:r>
            <w:bookmarkStart w:id="198" w:name="xdx_434_c20250101__20250630_eus-gaap--St"/>
            <w:bookmarkEnd w:id="198"/>
          </w:p>
        </w:tc>
      </w:tr>
      <w:tr>
        <w:trPr/>
        <w:tc>
          <w:tcPr>
            <w:tcW w:w="1883" w:type="dxa"/>
            <w:tcBorders/>
            <w:shd w:fill="FFFFFF" w:val="clear"/>
            <w:vAlign w:val="center"/>
          </w:tcPr>
          <w:p>
            <w:pPr>
              <w:pStyle w:val="TableContents"/>
              <w:bidi w:val="0"/>
              <w:spacing w:before="0" w:after="283"/>
              <w:jc w:val="left"/>
              <w:rPr>
                <w:b/>
              </w:rPr>
            </w:pPr>
            <w:r>
              <w:rPr>
                <w:b/>
              </w:rPr>
              <w:t>Balances at June 30, 2025</w:t>
            </w:r>
          </w:p>
        </w:tc>
        <w:tc>
          <w:tcPr>
            <w:tcW w:w="60" w:type="dxa"/>
            <w:tcBorders/>
            <w:shd w:fill="FFFFFF" w:val="clear"/>
            <w:vAlign w:val="center"/>
          </w:tcPr>
          <w:p>
            <w:pPr>
              <w:pStyle w:val="TableContents"/>
              <w:bidi w:val="0"/>
              <w:spacing w:before="0" w:after="283"/>
              <w:jc w:val="left"/>
              <w:rPr/>
            </w:pPr>
            <w:r>
              <w:rPr/>
              <w:t> </w:t>
            </w:r>
          </w:p>
        </w:tc>
        <w:tc>
          <w:tcPr>
            <w:tcW w:w="6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199" w:name="xdx_98B_eus-gaap--SharesOutstanding_iE_p"/>
            <w:bookmarkEnd w:id="199"/>
          </w:p>
        </w:tc>
        <w:tc>
          <w:tcPr>
            <w:tcW w:w="1129" w:type="dxa"/>
            <w:tcBorders>
              <w:bottom w:val="double" w:sz="6" w:space="0" w:color="000000"/>
            </w:tcBorders>
            <w:shd w:fill="FFFFFF" w:val="clear"/>
            <w:tcMar>
              <w:bottom w:w="28" w:type="dxa"/>
            </w:tcMar>
            <w:vAlign w:val="center"/>
          </w:tcPr>
          <w:p>
            <w:pPr>
              <w:pStyle w:val="TableContents"/>
              <w:bidi w:val="0"/>
              <w:spacing w:before="0" w:after="283"/>
              <w:jc w:val="right"/>
              <w:rPr/>
            </w:pPr>
            <w:r>
              <w:rPr/>
              <w:t>92,961,506</w:t>
            </w:r>
          </w:p>
        </w:tc>
        <w:tc>
          <w:tcPr>
            <w:tcW w:w="61"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30" w:type="dxa"/>
            <w:tcBorders>
              <w:bottom w:val="double" w:sz="6" w:space="0" w:color="000000"/>
            </w:tcBorders>
            <w:shd w:fill="FFFFFF" w:val="clear"/>
            <w:tcMar>
              <w:bottom w:w="28" w:type="dxa"/>
            </w:tcMar>
            <w:vAlign w:val="center"/>
          </w:tcPr>
          <w:p>
            <w:pPr>
              <w:pStyle w:val="TableContents"/>
              <w:bidi w:val="0"/>
              <w:spacing w:before="0" w:after="283"/>
              <w:jc w:val="right"/>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jc w:val="right"/>
              <w:rPr/>
            </w:pPr>
            <w:r>
              <w:rPr/>
              <w:t>106,498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2" w:type="dxa"/>
            <w:tcBorders>
              <w:bottom w:val="double" w:sz="6" w:space="0" w:color="000000"/>
            </w:tcBorders>
            <w:shd w:fill="FFFFFF" w:val="clear"/>
            <w:tcMar>
              <w:bottom w:w="28" w:type="dxa"/>
            </w:tcMar>
            <w:vAlign w:val="center"/>
          </w:tcPr>
          <w:p>
            <w:pPr>
              <w:pStyle w:val="TableContents"/>
              <w:bidi w:val="0"/>
              <w:spacing w:before="0" w:after="283"/>
              <w:jc w:val="right"/>
              <w:rPr/>
            </w:pPr>
            <w:r>
              <w:rPr/>
              <w:t>(131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pPr>
            <w:r>
              <w:rPr/>
              <w:t>(125,739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37" w:type="dxa"/>
            <w:tcBorders>
              <w:bottom w:val="double" w:sz="6" w:space="0" w:color="000000"/>
            </w:tcBorders>
            <w:shd w:fill="FFFFFF" w:val="clear"/>
            <w:tcMar>
              <w:bottom w:w="28" w:type="dxa"/>
            </w:tcMar>
            <w:vAlign w:val="center"/>
          </w:tcPr>
          <w:p>
            <w:pPr>
              <w:pStyle w:val="TableContents"/>
              <w:bidi w:val="0"/>
              <w:spacing w:before="0" w:after="283"/>
              <w:jc w:val="right"/>
              <w:rPr/>
            </w:pPr>
            <w:r>
              <w:rPr/>
              <w:t>(19,363</w:t>
            </w:r>
          </w:p>
        </w:tc>
        <w:tc>
          <w:tcPr>
            <w:tcW w:w="113"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0" w:name="q2_006"/>
      <w:bookmarkEnd w:id="200"/>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(In thousands) </w:t>
      </w:r>
    </w:p>
    <w:p>
      <w:pPr>
        <w:pStyle w:val="TextBody"/>
        <w:bidi w:val="0"/>
        <w:spacing w:before="0" w:after="0"/>
        <w:ind w:left="0" w:right="0" w:hanging="0"/>
        <w:jc w:val="center"/>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01" w:name="xdx_30D_112_pn3n3_zs9TQGjasnCi"/>
      <w:bookmarkStart w:id="202" w:name="xdx_30D_112_pn3n3_zs9TQGjasnCi"/>
      <w:bookmarkEnd w:id="202"/>
    </w:p>
    <w:tbl>
      <w:tblPr>
        <w:tblW w:w="9956" w:type="dxa"/>
        <w:jc w:val="left"/>
        <w:tblInd w:w="0" w:type="dxa"/>
        <w:tblLayout w:type="fixed"/>
        <w:tblCellMar>
          <w:top w:w="0" w:type="dxa"/>
          <w:left w:w="0" w:type="dxa"/>
          <w:bottom w:w="0" w:type="dxa"/>
          <w:right w:w="0" w:type="dxa"/>
        </w:tblCellMar>
      </w:tblPr>
      <w:tblGrid>
        <w:gridCol w:w="7070"/>
        <w:gridCol w:w="60"/>
        <w:gridCol w:w="217"/>
        <w:gridCol w:w="1056"/>
        <w:gridCol w:w="147"/>
        <w:gridCol w:w="93"/>
        <w:gridCol w:w="217"/>
        <w:gridCol w:w="986"/>
        <w:gridCol w:w="110"/>
      </w:tblGrid>
      <w:tr>
        <w:trPr/>
        <w:tc>
          <w:tcPr>
            <w:tcW w:w="70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bookmarkStart w:id="203" w:name="xdx_494_20260101__20260630_zzNzpNX26NAc"/>
            <w:bookmarkEnd w:id="203"/>
          </w:p>
        </w:tc>
        <w:tc>
          <w:tcPr>
            <w:tcW w:w="1056" w:type="dxa"/>
            <w:tcBorders/>
            <w:shd w:fill="FFFFFF" w:val="clear"/>
            <w:vAlign w:val="center"/>
          </w:tcPr>
          <w:p>
            <w:pPr>
              <w:pStyle w:val="TableContents"/>
              <w:bidi w:val="0"/>
              <w:spacing w:before="0" w:after="283"/>
              <w:jc w:val="center"/>
              <w:rPr/>
            </w:pPr>
            <w:r>
              <w:rPr/>
              <w:t> </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bookmarkStart w:id="204" w:name="xdx_49A_20250101__20250630_zbuTwj2vhOm9"/>
            <w:bookmarkEnd w:id="204"/>
          </w:p>
        </w:tc>
        <w:tc>
          <w:tcPr>
            <w:tcW w:w="986" w:type="dxa"/>
            <w:tcBorders/>
            <w:shd w:fill="FFFFFF" w:val="clear"/>
            <w:vAlign w:val="center"/>
          </w:tcPr>
          <w:p>
            <w:pPr>
              <w:pStyle w:val="TableContents"/>
              <w:bidi w:val="0"/>
              <w:spacing w:before="0" w:after="283"/>
              <w:jc w:val="center"/>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1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Six Months Ended</w:t>
              <w:br/>
              <w:t>June 30,</w:t>
            </w:r>
          </w:p>
        </w:tc>
        <w:tc>
          <w:tcPr>
            <w:tcW w:w="110" w:type="dxa"/>
            <w:tcBorders/>
            <w:vAlign w:val="center"/>
          </w:tcPr>
          <w:p>
            <w:pPr>
              <w:pStyle w:val="TableContents"/>
              <w:bidi w:val="0"/>
              <w:spacing w:before="0" w:after="283"/>
              <w:jc w:val="left"/>
              <w:rPr/>
            </w:pPr>
            <w:r>
              <w:rPr/>
              <w:t> </w:t>
            </w:r>
          </w:p>
        </w:tc>
      </w:tr>
      <w:tr>
        <w:trPr/>
        <w:tc>
          <w:tcPr>
            <w:tcW w:w="707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7" w:type="dxa"/>
            <w:tcBorders/>
            <w:vAlign w:val="center"/>
          </w:tcPr>
          <w:p>
            <w:pPr>
              <w:pStyle w:val="TableContents"/>
              <w:bidi w:val="0"/>
              <w:spacing w:before="0" w:after="283"/>
              <w:jc w:val="left"/>
              <w:rPr/>
            </w:pPr>
            <w:r>
              <w:rPr/>
              <w:t> </w:t>
            </w:r>
          </w:p>
        </w:tc>
        <w:tc>
          <w:tcPr>
            <w:tcW w:w="93" w:type="dxa"/>
            <w:tcBorders/>
            <w:vAlign w:val="center"/>
          </w:tcPr>
          <w:p>
            <w:pPr>
              <w:pStyle w:val="TableContents"/>
              <w:bidi w:val="0"/>
              <w:spacing w:before="0" w:after="283"/>
              <w:jc w:val="left"/>
              <w:rPr/>
            </w:pPr>
            <w:r>
              <w:rPr/>
              <w:t> </w:t>
            </w:r>
          </w:p>
        </w:tc>
        <w:tc>
          <w:tcPr>
            <w:tcW w:w="120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bookmarkStart w:id="205" w:name="xdx_40A_eus-gaap--NetCashProvidedByUsedI"/>
            <w:bookmarkEnd w:id="205"/>
          </w:p>
        </w:tc>
      </w:tr>
      <w:tr>
        <w:trPr/>
        <w:tc>
          <w:tcPr>
            <w:tcW w:w="707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206" w:name="xdx_40A_eus-gaap--ProfitLoss_i01_maNCPBU"/>
            <w:bookmarkEnd w:id="206"/>
          </w:p>
        </w:tc>
      </w:tr>
      <w:tr>
        <w:trPr/>
        <w:tc>
          <w:tcPr>
            <w:tcW w:w="7070" w:type="dxa"/>
            <w:tcBorders/>
            <w:shd w:fill="FFFFFF" w:val="clear"/>
            <w:vAlign w:val="center"/>
          </w:tcPr>
          <w:p>
            <w:pPr>
              <w:pStyle w:val="TableContents"/>
              <w:bidi w:val="0"/>
              <w:spacing w:before="0" w:after="283"/>
              <w:jc w:val="left"/>
              <w:rPr/>
            </w:pPr>
            <w:r>
              <w:rPr/>
              <w:t>Net income (loss)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w:t>
            </w:r>
          </w:p>
        </w:tc>
        <w:tc>
          <w:tcPr>
            <w:tcW w:w="1056" w:type="dxa"/>
            <w:tcBorders/>
            <w:shd w:fill="FFFFFF" w:val="clear"/>
            <w:vAlign w:val="center"/>
          </w:tcPr>
          <w:p>
            <w:pPr>
              <w:pStyle w:val="TableContents"/>
              <w:bidi w:val="0"/>
              <w:spacing w:before="0" w:after="283"/>
              <w:jc w:val="right"/>
              <w:rPr/>
            </w:pPr>
            <w:r>
              <w:rPr/>
              <w:t>(3,145</w:t>
            </w:r>
          </w:p>
        </w:tc>
        <w:tc>
          <w:tcPr>
            <w:tcW w:w="147"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w:t>
            </w:r>
          </w:p>
        </w:tc>
        <w:tc>
          <w:tcPr>
            <w:tcW w:w="986" w:type="dxa"/>
            <w:tcBorders/>
            <w:shd w:fill="FFFFFF" w:val="clear"/>
            <w:vAlign w:val="center"/>
          </w:tcPr>
          <w:p>
            <w:pPr>
              <w:pStyle w:val="TableContents"/>
              <w:bidi w:val="0"/>
              <w:spacing w:before="0" w:after="283"/>
              <w:jc w:val="right"/>
              <w:rPr/>
            </w:pPr>
            <w:r>
              <w:rPr/>
              <w:t>1,930</w:t>
            </w:r>
          </w:p>
        </w:tc>
        <w:tc>
          <w:tcPr>
            <w:tcW w:w="110" w:type="dxa"/>
            <w:tcBorders/>
            <w:shd w:fill="FFFFFF" w:val="clear"/>
            <w:vAlign w:val="center"/>
          </w:tcPr>
          <w:p>
            <w:pPr>
              <w:pStyle w:val="TableContents"/>
              <w:bidi w:val="0"/>
              <w:spacing w:before="0" w:after="283"/>
              <w:jc w:val="left"/>
              <w:rPr/>
            </w:pPr>
            <w:r>
              <w:rPr/>
              <w:t> </w:t>
            </w:r>
            <w:bookmarkStart w:id="207" w:name="xdx_400_eus-gaap--AdjustmentsNoncashItem"/>
            <w:bookmarkEnd w:id="207"/>
          </w:p>
        </w:tc>
      </w:tr>
      <w:tr>
        <w:trPr/>
        <w:tc>
          <w:tcPr>
            <w:tcW w:w="707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bookmarkStart w:id="208" w:name="xdx_406_eus-gaap--ShareBasedCompensation"/>
            <w:bookmarkEnd w:id="208"/>
          </w:p>
        </w:tc>
      </w:tr>
      <w:tr>
        <w:trPr/>
        <w:tc>
          <w:tcPr>
            <w:tcW w:w="707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444</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74</w:t>
            </w:r>
          </w:p>
        </w:tc>
        <w:tc>
          <w:tcPr>
            <w:tcW w:w="110" w:type="dxa"/>
            <w:tcBorders/>
            <w:shd w:fill="FFFFFF" w:val="clear"/>
            <w:vAlign w:val="center"/>
          </w:tcPr>
          <w:p>
            <w:pPr>
              <w:pStyle w:val="TableContents"/>
              <w:bidi w:val="0"/>
              <w:spacing w:before="0" w:after="283"/>
              <w:ind w:left="0" w:right="0" w:hanging="200"/>
              <w:jc w:val="left"/>
              <w:rPr/>
            </w:pPr>
            <w:r>
              <w:rPr/>
              <w:t> </w:t>
            </w:r>
            <w:bookmarkStart w:id="209" w:name="xdx_40D_eus-gaap--OtherNoncashExpense_i0"/>
            <w:bookmarkEnd w:id="209"/>
          </w:p>
        </w:tc>
      </w:tr>
      <w:tr>
        <w:trPr/>
        <w:tc>
          <w:tcPr>
            <w:tcW w:w="7070" w:type="dxa"/>
            <w:tcBorders/>
            <w:shd w:fill="CCEEFF" w:val="clear"/>
            <w:vAlign w:val="center"/>
          </w:tcPr>
          <w:p>
            <w:pPr>
              <w:pStyle w:val="TableContents"/>
              <w:bidi w:val="0"/>
              <w:spacing w:before="0" w:after="283"/>
              <w:jc w:val="left"/>
              <w:rPr/>
            </w:pPr>
            <w:r>
              <w:rPr/>
              <w:t>Non-cash interest expense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361</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195</w:t>
            </w:r>
          </w:p>
        </w:tc>
        <w:tc>
          <w:tcPr>
            <w:tcW w:w="110" w:type="dxa"/>
            <w:tcBorders/>
            <w:shd w:fill="CCEEFF" w:val="clear"/>
            <w:vAlign w:val="center"/>
          </w:tcPr>
          <w:p>
            <w:pPr>
              <w:pStyle w:val="TableContents"/>
              <w:bidi w:val="0"/>
              <w:spacing w:before="0" w:after="283"/>
              <w:ind w:left="0" w:right="0" w:hanging="200"/>
              <w:jc w:val="left"/>
              <w:rPr/>
            </w:pPr>
            <w:r>
              <w:rPr/>
              <w:t> </w:t>
            </w:r>
            <w:bookmarkStart w:id="210" w:name="xdx_40E_ecustom--GainsLossesOnExtingushm"/>
            <w:bookmarkEnd w:id="210"/>
          </w:p>
        </w:tc>
      </w:tr>
      <w:tr>
        <w:trPr/>
        <w:tc>
          <w:tcPr>
            <w:tcW w:w="7070" w:type="dxa"/>
            <w:tcBorders/>
            <w:shd w:fill="FFFFFF" w:val="clear"/>
            <w:vAlign w:val="center"/>
          </w:tcPr>
          <w:p>
            <w:pPr>
              <w:pStyle w:val="TableContents"/>
              <w:bidi w:val="0"/>
              <w:spacing w:before="0" w:after="283"/>
              <w:jc w:val="left"/>
              <w:rPr/>
            </w:pPr>
            <w:r>
              <w:rPr/>
              <w:t>Loss on extinguishment of senior secured note</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134</w:t>
            </w:r>
          </w:p>
        </w:tc>
        <w:tc>
          <w:tcPr>
            <w:tcW w:w="110" w:type="dxa"/>
            <w:tcBorders/>
            <w:shd w:fill="FFFFFF" w:val="clear"/>
            <w:vAlign w:val="center"/>
          </w:tcPr>
          <w:p>
            <w:pPr>
              <w:pStyle w:val="TableContents"/>
              <w:bidi w:val="0"/>
              <w:spacing w:before="0" w:after="283"/>
              <w:ind w:left="0" w:right="0" w:hanging="200"/>
              <w:jc w:val="left"/>
              <w:rPr/>
            </w:pPr>
            <w:r>
              <w:rPr/>
              <w:t> </w:t>
            </w:r>
            <w:bookmarkStart w:id="211" w:name="xdx_40F_ecustom--GainLossOnExtinguishmen"/>
            <w:bookmarkEnd w:id="211"/>
          </w:p>
        </w:tc>
      </w:tr>
      <w:tr>
        <w:trPr/>
        <w:tc>
          <w:tcPr>
            <w:tcW w:w="7070" w:type="dxa"/>
            <w:tcBorders/>
            <w:shd w:fill="CCEEFF" w:val="clear"/>
            <w:vAlign w:val="center"/>
          </w:tcPr>
          <w:p>
            <w:pPr>
              <w:pStyle w:val="TableContents"/>
              <w:bidi w:val="0"/>
              <w:spacing w:before="0" w:after="283"/>
              <w:jc w:val="left"/>
              <w:rPr/>
            </w:pPr>
            <w:r>
              <w:rPr/>
              <w:t>Gain on extinguishment of forward purchase agreement settlement liability</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(2,357</w:t>
            </w:r>
          </w:p>
        </w:tc>
        <w:tc>
          <w:tcPr>
            <w:tcW w:w="110" w:type="dxa"/>
            <w:tcBorders/>
            <w:shd w:fill="CCEEFF" w:val="clear"/>
            <w:vAlign w:val="center"/>
          </w:tcPr>
          <w:p>
            <w:pPr>
              <w:pStyle w:val="TableContents"/>
              <w:bidi w:val="0"/>
              <w:spacing w:before="0" w:after="283"/>
              <w:ind w:left="0" w:right="0" w:hanging="200"/>
              <w:jc w:val="left"/>
              <w:rPr/>
            </w:pPr>
            <w:r>
              <w:rPr/>
              <w:t>)</w:t>
            </w:r>
            <w:bookmarkStart w:id="212" w:name="xdx_403_eus-gaap--GainsLossesOnExtinguis"/>
            <w:bookmarkEnd w:id="212"/>
          </w:p>
        </w:tc>
      </w:tr>
      <w:tr>
        <w:trPr/>
        <w:tc>
          <w:tcPr>
            <w:tcW w:w="7070" w:type="dxa"/>
            <w:tcBorders/>
            <w:shd w:fill="FFFFFF" w:val="clear"/>
            <w:vAlign w:val="center"/>
          </w:tcPr>
          <w:p>
            <w:pPr>
              <w:pStyle w:val="TableContents"/>
              <w:bidi w:val="0"/>
              <w:spacing w:before="0" w:after="283"/>
              <w:jc w:val="left"/>
              <w:rPr/>
            </w:pPr>
            <w:r>
              <w:rPr/>
              <w:t>Gain on extinguishment of liabilities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(1,197</w:t>
            </w:r>
          </w:p>
        </w:tc>
        <w:tc>
          <w:tcPr>
            <w:tcW w:w="110" w:type="dxa"/>
            <w:tcBorders/>
            <w:shd w:fill="FFFFFF" w:val="clear"/>
            <w:vAlign w:val="center"/>
          </w:tcPr>
          <w:p>
            <w:pPr>
              <w:pStyle w:val="TableContents"/>
              <w:bidi w:val="0"/>
              <w:spacing w:before="0" w:after="283"/>
              <w:ind w:left="0" w:right="0" w:hanging="200"/>
              <w:jc w:val="left"/>
              <w:rPr/>
            </w:pPr>
            <w:r>
              <w:rPr/>
              <w:t>)</w:t>
            </w:r>
            <w:bookmarkStart w:id="213" w:name="xdx_405_eus-gaap--IncreaseDecreaseInOper"/>
            <w:bookmarkEnd w:id="213"/>
          </w:p>
        </w:tc>
      </w:tr>
      <w:tr>
        <w:trPr/>
        <w:tc>
          <w:tcPr>
            <w:tcW w:w="7070" w:type="dxa"/>
            <w:tcBorders/>
            <w:shd w:fill="CCEEFF" w:val="clear"/>
            <w:vAlign w:val="center"/>
          </w:tcPr>
          <w:p>
            <w:pPr>
              <w:pStyle w:val="TableContents"/>
              <w:bidi w:val="0"/>
              <w:spacing w:before="0" w:after="283"/>
              <w:jc w:val="left"/>
              <w:rPr/>
            </w:pPr>
            <w:r>
              <w:rPr/>
              <w:t>Changes in operating assets and liabilities: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 </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ind w:left="0" w:right="0" w:hanging="200"/>
              <w:jc w:val="left"/>
              <w:rPr/>
            </w:pPr>
            <w:r>
              <w:rPr/>
              <w:t> </w:t>
            </w:r>
            <w:bookmarkStart w:id="214" w:name="xdx_40B_eus-gaap--IncreaseDecreaseInPrep"/>
            <w:bookmarkEnd w:id="214"/>
          </w:p>
        </w:tc>
      </w:tr>
      <w:tr>
        <w:trPr/>
        <w:tc>
          <w:tcPr>
            <w:tcW w:w="7070" w:type="dxa"/>
            <w:tcBorders/>
            <w:shd w:fill="FFFFFF" w:val="clear"/>
            <w:vAlign w:val="center"/>
          </w:tcPr>
          <w:p>
            <w:pPr>
              <w:pStyle w:val="TableContents"/>
              <w:bidi w:val="0"/>
              <w:spacing w:before="0" w:after="283"/>
              <w:jc w:val="left"/>
              <w:rPr/>
            </w:pPr>
            <w:r>
              <w:rPr/>
              <w:t>Prepaid expenses and other current and non-current assets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40</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(37</w:t>
            </w:r>
          </w:p>
        </w:tc>
        <w:tc>
          <w:tcPr>
            <w:tcW w:w="110" w:type="dxa"/>
            <w:tcBorders/>
            <w:shd w:fill="FFFFFF" w:val="clear"/>
            <w:vAlign w:val="center"/>
          </w:tcPr>
          <w:p>
            <w:pPr>
              <w:pStyle w:val="TableContents"/>
              <w:bidi w:val="0"/>
              <w:spacing w:before="0" w:after="283"/>
              <w:ind w:left="0" w:right="0" w:hanging="200"/>
              <w:jc w:val="left"/>
              <w:rPr/>
            </w:pPr>
            <w:r>
              <w:rPr/>
              <w:t>)</w:t>
            </w:r>
            <w:bookmarkStart w:id="215" w:name="xdx_40E_eus-gaap--IncreaseDecreaseInAcco"/>
            <w:bookmarkEnd w:id="215"/>
          </w:p>
        </w:tc>
      </w:tr>
      <w:tr>
        <w:trPr/>
        <w:tc>
          <w:tcPr>
            <w:tcW w:w="7070"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(214</w:t>
            </w:r>
          </w:p>
        </w:tc>
        <w:tc>
          <w:tcPr>
            <w:tcW w:w="147"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74</w:t>
            </w:r>
          </w:p>
        </w:tc>
        <w:tc>
          <w:tcPr>
            <w:tcW w:w="110" w:type="dxa"/>
            <w:tcBorders/>
            <w:shd w:fill="CCEEFF" w:val="clear"/>
            <w:vAlign w:val="center"/>
          </w:tcPr>
          <w:p>
            <w:pPr>
              <w:pStyle w:val="TableContents"/>
              <w:bidi w:val="0"/>
              <w:spacing w:before="0" w:after="283"/>
              <w:ind w:left="0" w:right="0" w:hanging="200"/>
              <w:jc w:val="left"/>
              <w:rPr/>
            </w:pPr>
            <w:r>
              <w:rPr/>
              <w:t> </w:t>
            </w:r>
            <w:bookmarkStart w:id="216" w:name="xdx_405_eus-gaap--IncreaseDecreaseInOthe"/>
            <w:bookmarkEnd w:id="216"/>
          </w:p>
        </w:tc>
      </w:tr>
      <w:tr>
        <w:trPr/>
        <w:tc>
          <w:tcPr>
            <w:tcW w:w="7070"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pPr>
            <w:r>
              <w:rPr/>
              <w:t>(174</w:t>
            </w:r>
          </w:p>
        </w:tc>
        <w:tc>
          <w:tcPr>
            <w:tcW w:w="147"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pPr>
            <w:r>
              <w:rPr/>
              <w:t>720</w:t>
            </w:r>
          </w:p>
        </w:tc>
        <w:tc>
          <w:tcPr>
            <w:tcW w:w="110" w:type="dxa"/>
            <w:tcBorders/>
            <w:shd w:fill="FFFFFF" w:val="clear"/>
            <w:vAlign w:val="center"/>
          </w:tcPr>
          <w:p>
            <w:pPr>
              <w:pStyle w:val="TableContents"/>
              <w:bidi w:val="0"/>
              <w:spacing w:before="0" w:after="283"/>
              <w:ind w:left="0" w:right="0" w:hanging="200"/>
              <w:jc w:val="left"/>
              <w:rPr/>
            </w:pPr>
            <w:r>
              <w:rPr/>
              <w:t> </w:t>
            </w:r>
            <w:bookmarkStart w:id="217" w:name="xdx_408_eus-gaap--NetCashProvidedByUsedI"/>
            <w:bookmarkEnd w:id="217"/>
          </w:p>
        </w:tc>
      </w:tr>
      <w:tr>
        <w:trPr/>
        <w:tc>
          <w:tcPr>
            <w:tcW w:w="707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pPr>
            <w:r>
              <w:rPr/>
              <w:t>(2,688</w:t>
            </w:r>
          </w:p>
        </w:tc>
        <w:tc>
          <w:tcPr>
            <w:tcW w:w="147" w:type="dxa"/>
            <w:tcBorders/>
            <w:shd w:fill="CCEEFF" w:val="clear"/>
            <w:vAlign w:val="center"/>
          </w:tcPr>
          <w:p>
            <w:pPr>
              <w:pStyle w:val="TableContents"/>
              <w:bidi w:val="0"/>
              <w:spacing w:before="0" w:after="283"/>
              <w:jc w:val="left"/>
              <w:rPr/>
            </w:pPr>
            <w:r>
              <w:rPr/>
              <w:t>)</w:t>
            </w:r>
          </w:p>
        </w:tc>
        <w:tc>
          <w:tcPr>
            <w:tcW w:w="93"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CCEEFF" w:val="clear"/>
            <w:tcMar>
              <w:bottom w:w="28" w:type="dxa"/>
            </w:tcMar>
            <w:vAlign w:val="center"/>
          </w:tcPr>
          <w:p>
            <w:pPr>
              <w:pStyle w:val="TableContents"/>
              <w:bidi w:val="0"/>
              <w:spacing w:before="0" w:after="283"/>
              <w:jc w:val="right"/>
              <w:rPr/>
            </w:pPr>
            <w:r>
              <w:rPr/>
              <w:t>(464</w:t>
            </w:r>
          </w:p>
        </w:tc>
        <w:tc>
          <w:tcPr>
            <w:tcW w:w="110" w:type="dxa"/>
            <w:tcBorders/>
            <w:shd w:fill="CCEEFF" w:val="clear"/>
            <w:vAlign w:val="center"/>
          </w:tcPr>
          <w:p>
            <w:pPr>
              <w:pStyle w:val="TableContents"/>
              <w:bidi w:val="0"/>
              <w:spacing w:before="0" w:after="283"/>
              <w:jc w:val="left"/>
              <w:rPr/>
            </w:pPr>
            <w:r>
              <w:rPr/>
              <w:t>)</w:t>
            </w:r>
            <w:bookmarkStart w:id="218" w:name="xdx_40A_eus-gaap--NetCashProvidedByUsedI"/>
            <w:bookmarkEnd w:id="218"/>
          </w:p>
        </w:tc>
      </w:tr>
      <w:tr>
        <w:trPr/>
        <w:tc>
          <w:tcPr>
            <w:tcW w:w="7070" w:type="dxa"/>
            <w:tcBorders/>
            <w:shd w:fill="FFFFFF" w:val="clear"/>
            <w:vAlign w:val="center"/>
          </w:tcPr>
          <w:p>
            <w:pPr>
              <w:pStyle w:val="TableContents"/>
              <w:bidi w:val="0"/>
              <w:spacing w:before="0" w:after="283"/>
              <w:jc w:val="left"/>
              <w:rPr>
                <w:b/>
              </w:rPr>
            </w:pPr>
            <w:r>
              <w:rPr>
                <w:b/>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19" w:name="xdx_406_eus-gaap--ProceedsFromIssuanceOf"/>
            <w:bookmarkEnd w:id="219"/>
          </w:p>
        </w:tc>
      </w:tr>
      <w:tr>
        <w:trPr/>
        <w:tc>
          <w:tcPr>
            <w:tcW w:w="7070" w:type="dxa"/>
            <w:tcBorders/>
            <w:shd w:fill="CCEEFF" w:val="clear"/>
            <w:vAlign w:val="center"/>
          </w:tcPr>
          <w:p>
            <w:pPr>
              <w:pStyle w:val="TableContents"/>
              <w:bidi w:val="0"/>
              <w:spacing w:before="0" w:after="283"/>
              <w:jc w:val="left"/>
              <w:rPr/>
            </w:pPr>
            <w:r>
              <w:rPr/>
              <w:t>Proceeds from sale of Series D Preferred stock, net of expenses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13,838</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20" w:name="xdx_400_eus-gaap--ProceedsFromStockOptio"/>
            <w:bookmarkEnd w:id="220"/>
          </w:p>
        </w:tc>
      </w:tr>
      <w:tr>
        <w:trPr/>
        <w:tc>
          <w:tcPr>
            <w:tcW w:w="7070" w:type="dxa"/>
            <w:tcBorders/>
            <w:shd w:fill="FFFFFF" w:val="clear"/>
            <w:vAlign w:val="center"/>
          </w:tcPr>
          <w:p>
            <w:pPr>
              <w:pStyle w:val="TableContents"/>
              <w:bidi w:val="0"/>
              <w:spacing w:before="0" w:after="283"/>
              <w:jc w:val="left"/>
              <w:rPr/>
            </w:pPr>
            <w:r>
              <w:rPr/>
              <w:t>Proceeds from the exercise of stock options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1</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bookmarkStart w:id="221" w:name="xdx_404_eus-gaap--ProceedsFromConvertibl"/>
            <w:bookmarkEnd w:id="221"/>
          </w:p>
        </w:tc>
      </w:tr>
      <w:tr>
        <w:trPr/>
        <w:tc>
          <w:tcPr>
            <w:tcW w:w="7070" w:type="dxa"/>
            <w:tcBorders/>
            <w:shd w:fill="CCEEFF" w:val="clear"/>
            <w:vAlign w:val="center"/>
          </w:tcPr>
          <w:p>
            <w:pPr>
              <w:pStyle w:val="TableContents"/>
              <w:bidi w:val="0"/>
              <w:spacing w:before="0" w:after="283"/>
              <w:jc w:val="left"/>
              <w:rPr/>
            </w:pPr>
            <w:r>
              <w:rPr/>
              <w:t>Proceeds from convertible notes, net</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2,825</w:t>
            </w:r>
          </w:p>
        </w:tc>
        <w:tc>
          <w:tcPr>
            <w:tcW w:w="110" w:type="dxa"/>
            <w:tcBorders/>
            <w:shd w:fill="CCEEFF" w:val="clear"/>
            <w:vAlign w:val="center"/>
          </w:tcPr>
          <w:p>
            <w:pPr>
              <w:pStyle w:val="TableContents"/>
              <w:bidi w:val="0"/>
              <w:spacing w:before="0" w:after="283"/>
              <w:jc w:val="left"/>
              <w:rPr/>
            </w:pPr>
            <w:r>
              <w:rPr/>
              <w:t> </w:t>
            </w:r>
            <w:bookmarkStart w:id="222" w:name="xdx_40A_eus-gaap--RepaymentsOfSeniorDebt"/>
            <w:bookmarkEnd w:id="222"/>
          </w:p>
        </w:tc>
      </w:tr>
      <w:tr>
        <w:trPr/>
        <w:tc>
          <w:tcPr>
            <w:tcW w:w="7070" w:type="dxa"/>
            <w:tcBorders/>
            <w:shd w:fill="FFFFFF" w:val="clear"/>
            <w:vAlign w:val="center"/>
          </w:tcPr>
          <w:p>
            <w:pPr>
              <w:pStyle w:val="TableContents"/>
              <w:bidi w:val="0"/>
              <w:spacing w:before="0" w:after="283"/>
              <w:jc w:val="left"/>
              <w:rPr/>
            </w:pPr>
            <w:r>
              <w:rPr/>
              <w:t>Payment of senior secured notes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pPr>
            <w:r>
              <w:rPr/>
              <w:t>(1,343</w:t>
            </w:r>
          </w:p>
        </w:tc>
        <w:tc>
          <w:tcPr>
            <w:tcW w:w="110" w:type="dxa"/>
            <w:tcBorders/>
            <w:shd w:fill="FFFFFF" w:val="clear"/>
            <w:vAlign w:val="center"/>
          </w:tcPr>
          <w:p>
            <w:pPr>
              <w:pStyle w:val="TableContents"/>
              <w:bidi w:val="0"/>
              <w:spacing w:before="0" w:after="283"/>
              <w:ind w:left="0" w:right="0" w:hanging="200"/>
              <w:jc w:val="left"/>
              <w:rPr/>
            </w:pPr>
            <w:r>
              <w:rPr/>
              <w:t>)</w:t>
            </w:r>
            <w:bookmarkStart w:id="223" w:name="xdx_405_eus-gaap--NetCashProvidedByUsedI"/>
            <w:bookmarkEnd w:id="223"/>
          </w:p>
        </w:tc>
      </w:tr>
      <w:tr>
        <w:trPr/>
        <w:tc>
          <w:tcPr>
            <w:tcW w:w="7070"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CCEEFF" w:val="clear"/>
            <w:tcMar>
              <w:bottom w:w="28" w:type="dxa"/>
            </w:tcMar>
            <w:vAlign w:val="center"/>
          </w:tcPr>
          <w:p>
            <w:pPr>
              <w:pStyle w:val="TableContents"/>
              <w:bidi w:val="0"/>
              <w:spacing w:before="0" w:after="283"/>
              <w:jc w:val="right"/>
              <w:rPr/>
            </w:pPr>
            <w:r>
              <w:rPr/>
              <w:t>13,839</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CCEEFF" w:val="clear"/>
            <w:tcMar>
              <w:bottom w:w="28" w:type="dxa"/>
            </w:tcMar>
            <w:vAlign w:val="center"/>
          </w:tcPr>
          <w:p>
            <w:pPr>
              <w:pStyle w:val="TableContents"/>
              <w:bidi w:val="0"/>
              <w:spacing w:before="0" w:after="283"/>
              <w:jc w:val="right"/>
              <w:rPr/>
            </w:pPr>
            <w:r>
              <w:rPr/>
              <w:t>1,482</w:t>
            </w:r>
          </w:p>
        </w:tc>
        <w:tc>
          <w:tcPr>
            <w:tcW w:w="110" w:type="dxa"/>
            <w:tcBorders/>
            <w:shd w:fill="CCEEFF" w:val="clear"/>
            <w:vAlign w:val="center"/>
          </w:tcPr>
          <w:p>
            <w:pPr>
              <w:pStyle w:val="TableContents"/>
              <w:bidi w:val="0"/>
              <w:spacing w:before="0" w:after="283"/>
              <w:jc w:val="left"/>
              <w:rPr/>
            </w:pPr>
            <w:r>
              <w:rPr/>
              <w:t> </w:t>
            </w:r>
            <w:bookmarkStart w:id="224" w:name="xdx_407_eus-gaap--EffectOfExchangeRateOn"/>
            <w:bookmarkEnd w:id="224"/>
          </w:p>
        </w:tc>
      </w:tr>
      <w:tr>
        <w:trPr/>
        <w:tc>
          <w:tcPr>
            <w:tcW w:w="7070" w:type="dxa"/>
            <w:tcBorders/>
            <w:shd w:fill="FFFFFF" w:val="clear"/>
            <w:vAlign w:val="center"/>
          </w:tcPr>
          <w:p>
            <w:pPr>
              <w:pStyle w:val="TableContents"/>
              <w:bidi w:val="0"/>
              <w:spacing w:before="0" w:after="283"/>
              <w:jc w:val="left"/>
              <w:rPr>
                <w:b/>
              </w:rPr>
            </w:pPr>
            <w:r>
              <w:rPr>
                <w:b/>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pPr>
            <w:r>
              <w:rPr/>
              <w:t>(39</w:t>
            </w:r>
          </w:p>
        </w:tc>
        <w:tc>
          <w:tcPr>
            <w:tcW w:w="147" w:type="dxa"/>
            <w:tcBorders/>
            <w:shd w:fill="FFFFFF" w:val="clear"/>
            <w:vAlign w:val="center"/>
          </w:tcPr>
          <w:p>
            <w:pPr>
              <w:pStyle w:val="TableContents"/>
              <w:bidi w:val="0"/>
              <w:spacing w:before="0" w:after="283"/>
              <w:jc w:val="left"/>
              <w:rPr/>
            </w:pPr>
            <w:r>
              <w:rPr/>
              <w:t>)</w:t>
            </w:r>
          </w:p>
        </w:tc>
        <w:tc>
          <w:tcPr>
            <w:tcW w:w="93"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pPr>
            <w:r>
              <w:rPr/>
              <w:t>(21</w:t>
            </w:r>
          </w:p>
        </w:tc>
        <w:tc>
          <w:tcPr>
            <w:tcW w:w="110" w:type="dxa"/>
            <w:tcBorders/>
            <w:shd w:fill="FFFFFF" w:val="clear"/>
            <w:vAlign w:val="center"/>
          </w:tcPr>
          <w:p>
            <w:pPr>
              <w:pStyle w:val="TableContents"/>
              <w:bidi w:val="0"/>
              <w:spacing w:before="0" w:after="283"/>
              <w:jc w:val="left"/>
              <w:rPr/>
            </w:pPr>
            <w:r>
              <w:rPr/>
              <w:t>)</w:t>
            </w:r>
            <w:bookmarkStart w:id="225" w:name="xdx_402_eus-gaap--CashCashEquivalentsRes"/>
            <w:bookmarkEnd w:id="225"/>
          </w:p>
        </w:tc>
      </w:tr>
      <w:tr>
        <w:trPr/>
        <w:tc>
          <w:tcPr>
            <w:tcW w:w="7070" w:type="dxa"/>
            <w:tcBorders/>
            <w:shd w:fill="CCEEFF" w:val="clear"/>
            <w:vAlign w:val="center"/>
          </w:tcPr>
          <w:p>
            <w:pPr>
              <w:pStyle w:val="TableContents"/>
              <w:bidi w:val="0"/>
              <w:spacing w:before="0" w:after="283"/>
              <w:jc w:val="left"/>
              <w:rPr>
                <w:b/>
              </w:rPr>
            </w:pPr>
            <w:r>
              <w:rPr>
                <w:b/>
              </w:rPr>
              <w:t>Net increase in cash and cash equivalents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1056" w:type="dxa"/>
            <w:tcBorders/>
            <w:shd w:fill="CCEEFF" w:val="clear"/>
            <w:vAlign w:val="center"/>
          </w:tcPr>
          <w:p>
            <w:pPr>
              <w:pStyle w:val="TableContents"/>
              <w:bidi w:val="0"/>
              <w:spacing w:before="0" w:after="283"/>
              <w:jc w:val="right"/>
              <w:rPr/>
            </w:pPr>
            <w:r>
              <w:rPr/>
              <w:t>11,112</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right"/>
              <w:rPr/>
            </w:pPr>
            <w:r>
              <w:rPr/>
              <w:t>997</w:t>
            </w:r>
          </w:p>
        </w:tc>
        <w:tc>
          <w:tcPr>
            <w:tcW w:w="110" w:type="dxa"/>
            <w:tcBorders/>
            <w:shd w:fill="CCEEFF" w:val="clear"/>
            <w:vAlign w:val="center"/>
          </w:tcPr>
          <w:p>
            <w:pPr>
              <w:pStyle w:val="TableContents"/>
              <w:bidi w:val="0"/>
              <w:spacing w:before="0" w:after="283"/>
              <w:jc w:val="left"/>
              <w:rPr/>
            </w:pPr>
            <w:r>
              <w:rPr/>
              <w:t> </w:t>
            </w:r>
            <w:bookmarkStart w:id="226" w:name="xdx_400_eus-gaap--CashCashEquivalentsRes"/>
            <w:bookmarkEnd w:id="226"/>
          </w:p>
        </w:tc>
      </w:tr>
      <w:tr>
        <w:trPr/>
        <w:tc>
          <w:tcPr>
            <w:tcW w:w="7070" w:type="dxa"/>
            <w:tcBorders/>
            <w:shd w:fill="FFFFFF" w:val="clear"/>
            <w:vAlign w:val="center"/>
          </w:tcPr>
          <w:p>
            <w:pPr>
              <w:pStyle w:val="TableContents"/>
              <w:bidi w:val="0"/>
              <w:spacing w:before="0" w:after="283"/>
              <w:jc w:val="left"/>
              <w:rPr/>
            </w:pPr>
            <w:r>
              <w:rPr/>
              <w:t>Cash and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6" w:type="dxa"/>
            <w:tcBorders>
              <w:bottom w:val="single" w:sz="8" w:space="0" w:color="000000"/>
            </w:tcBorders>
            <w:shd w:fill="FFFFFF" w:val="clear"/>
            <w:tcMar>
              <w:bottom w:w="28" w:type="dxa"/>
            </w:tcMar>
            <w:vAlign w:val="center"/>
          </w:tcPr>
          <w:p>
            <w:pPr>
              <w:pStyle w:val="TableContents"/>
              <w:bidi w:val="0"/>
              <w:spacing w:before="0" w:after="283"/>
              <w:jc w:val="right"/>
              <w:rPr/>
            </w:pPr>
            <w:r>
              <w:rPr/>
              <w:t>1,659</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6" w:type="dxa"/>
            <w:tcBorders>
              <w:bottom w:val="single" w:sz="8" w:space="0" w:color="000000"/>
            </w:tcBorders>
            <w:shd w:fill="FFFFFF" w:val="clear"/>
            <w:tcMar>
              <w:bottom w:w="28" w:type="dxa"/>
            </w:tcMar>
            <w:vAlign w:val="center"/>
          </w:tcPr>
          <w:p>
            <w:pPr>
              <w:pStyle w:val="TableContents"/>
              <w:bidi w:val="0"/>
              <w:spacing w:before="0" w:after="283"/>
              <w:jc w:val="right"/>
              <w:rPr/>
            </w:pPr>
            <w:r>
              <w:rPr/>
              <w:t>359</w:t>
            </w:r>
          </w:p>
        </w:tc>
        <w:tc>
          <w:tcPr>
            <w:tcW w:w="110" w:type="dxa"/>
            <w:tcBorders/>
            <w:shd w:fill="FFFFFF" w:val="clear"/>
            <w:vAlign w:val="center"/>
          </w:tcPr>
          <w:p>
            <w:pPr>
              <w:pStyle w:val="TableContents"/>
              <w:bidi w:val="0"/>
              <w:spacing w:before="0" w:after="283"/>
              <w:jc w:val="left"/>
              <w:rPr/>
            </w:pPr>
            <w:r>
              <w:rPr/>
              <w:t> </w:t>
            </w:r>
            <w:bookmarkStart w:id="227" w:name="xdx_401_eus-gaap--CashCashEquivalentsRes"/>
            <w:bookmarkEnd w:id="227"/>
          </w:p>
        </w:tc>
      </w:tr>
      <w:tr>
        <w:trPr/>
        <w:tc>
          <w:tcPr>
            <w:tcW w:w="7070" w:type="dxa"/>
            <w:tcBorders/>
            <w:shd w:fill="CCEEFF" w:val="clear"/>
            <w:vAlign w:val="center"/>
          </w:tcPr>
          <w:p>
            <w:pPr>
              <w:pStyle w:val="TableContents"/>
              <w:bidi w:val="0"/>
              <w:spacing w:before="0" w:after="283"/>
              <w:jc w:val="left"/>
              <w:rPr/>
            </w:pPr>
            <w:r>
              <w:rPr/>
              <w:t>Cash and cash equivalents and restricted cash at end of period</w:t>
            </w:r>
          </w:p>
        </w:tc>
        <w:tc>
          <w:tcPr>
            <w:tcW w:w="60"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6" w:type="dxa"/>
            <w:tcBorders>
              <w:bottom w:val="double" w:sz="6" w:space="0" w:color="000000"/>
            </w:tcBorders>
            <w:shd w:fill="CCEEFF" w:val="clear"/>
            <w:tcMar>
              <w:bottom w:w="28" w:type="dxa"/>
            </w:tcMar>
            <w:vAlign w:val="center"/>
          </w:tcPr>
          <w:p>
            <w:pPr>
              <w:pStyle w:val="TableContents"/>
              <w:bidi w:val="0"/>
              <w:spacing w:before="0" w:after="283"/>
              <w:jc w:val="right"/>
              <w:rPr/>
            </w:pPr>
            <w:r>
              <w:rPr/>
              <w:t>12,771</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6" w:type="dxa"/>
            <w:tcBorders>
              <w:bottom w:val="double" w:sz="6" w:space="0" w:color="000000"/>
            </w:tcBorders>
            <w:shd w:fill="CCEEFF" w:val="clear"/>
            <w:tcMar>
              <w:bottom w:w="28" w:type="dxa"/>
            </w:tcMar>
            <w:vAlign w:val="center"/>
          </w:tcPr>
          <w:p>
            <w:pPr>
              <w:pStyle w:val="TableContents"/>
              <w:bidi w:val="0"/>
              <w:spacing w:before="0" w:after="283"/>
              <w:jc w:val="right"/>
              <w:rPr/>
            </w:pPr>
            <w:r>
              <w:rPr/>
              <w:t>1,356</w:t>
            </w:r>
          </w:p>
        </w:tc>
        <w:tc>
          <w:tcPr>
            <w:tcW w:w="110" w:type="dxa"/>
            <w:tcBorders/>
            <w:shd w:fill="CCEEFF" w:val="clear"/>
            <w:vAlign w:val="center"/>
          </w:tcPr>
          <w:p>
            <w:pPr>
              <w:pStyle w:val="TableContents"/>
              <w:bidi w:val="0"/>
              <w:spacing w:before="0" w:after="283"/>
              <w:jc w:val="left"/>
              <w:rPr/>
            </w:pPr>
            <w:r>
              <w:rPr/>
              <w:t> </w:t>
            </w:r>
            <w:bookmarkStart w:id="228" w:name="xdx_409_eus-gaap--SupplementalCashFlowIn"/>
            <w:bookmarkEnd w:id="228"/>
          </w:p>
        </w:tc>
      </w:tr>
      <w:tr>
        <w:trPr/>
        <w:tc>
          <w:tcPr>
            <w:tcW w:w="7070" w:type="dxa"/>
            <w:tcBorders/>
            <w:shd w:fill="FFFFFF" w:val="clear"/>
            <w:vAlign w:val="center"/>
          </w:tcPr>
          <w:p>
            <w:pPr>
              <w:pStyle w:val="TableContents"/>
              <w:bidi w:val="0"/>
              <w:spacing w:before="0" w:after="283"/>
              <w:jc w:val="left"/>
              <w:rPr>
                <w:b/>
              </w:rPr>
            </w:pPr>
            <w:r>
              <w:rPr>
                <w:b/>
              </w:rPr>
              <w:t>Supplemental disclosures</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1056" w:type="dxa"/>
            <w:tcBorders/>
            <w:shd w:fill="FFFFFF" w:val="clear"/>
            <w:vAlign w:val="center"/>
          </w:tcPr>
          <w:p>
            <w:pPr>
              <w:pStyle w:val="TableContents"/>
              <w:bidi w:val="0"/>
              <w:spacing w:before="0" w:after="283"/>
              <w:jc w:val="right"/>
              <w:rPr/>
            </w:pPr>
            <w:r>
              <w:rPr/>
              <w:t> </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bookmarkStart w:id="229" w:name="xdx_407_ecustom--DebtDiscountOnModificat"/>
            <w:bookmarkEnd w:id="229"/>
          </w:p>
        </w:tc>
      </w:tr>
      <w:tr>
        <w:trPr/>
        <w:tc>
          <w:tcPr>
            <w:tcW w:w="7070" w:type="dxa"/>
            <w:tcBorders/>
            <w:shd w:fill="CCEEFF" w:val="clear"/>
            <w:vAlign w:val="center"/>
          </w:tcPr>
          <w:p>
            <w:pPr>
              <w:pStyle w:val="TableContents"/>
              <w:bidi w:val="0"/>
              <w:spacing w:before="0" w:after="283"/>
              <w:jc w:val="left"/>
              <w:rPr/>
            </w:pPr>
            <w:r>
              <w:rPr/>
              <w:t>Debt discount on modification of convertible notes</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230</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986"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bookmarkStart w:id="230" w:name="xdx_407_ecustom--IssuanceOfCommonStockIn"/>
            <w:bookmarkEnd w:id="230"/>
          </w:p>
        </w:tc>
      </w:tr>
      <w:tr>
        <w:trPr/>
        <w:tc>
          <w:tcPr>
            <w:tcW w:w="7070" w:type="dxa"/>
            <w:tcBorders/>
            <w:shd w:fill="FFFFFF" w:val="clear"/>
            <w:vAlign w:val="center"/>
          </w:tcPr>
          <w:p>
            <w:pPr>
              <w:pStyle w:val="TableContents"/>
              <w:bidi w:val="0"/>
              <w:spacing w:before="0" w:after="283"/>
              <w:jc w:val="left"/>
              <w:rPr/>
            </w:pPr>
            <w:r>
              <w:rPr/>
              <w:t>Issuance of common stock in connection with settlement of liability</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w:t>
            </w:r>
          </w:p>
        </w:tc>
        <w:tc>
          <w:tcPr>
            <w:tcW w:w="1056" w:type="dxa"/>
            <w:tcBorders/>
            <w:shd w:fill="FFFFFF" w:val="clear"/>
            <w:vAlign w:val="center"/>
          </w:tcPr>
          <w:p>
            <w:pPr>
              <w:pStyle w:val="TableContents"/>
              <w:bidi w:val="0"/>
              <w:spacing w:before="0" w:after="283"/>
              <w:jc w:val="right"/>
              <w:rPr/>
            </w:pPr>
            <w:r>
              <w:rPr/>
              <w:t>–</w:t>
            </w:r>
          </w:p>
        </w:tc>
        <w:tc>
          <w:tcPr>
            <w:tcW w:w="147"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jc w:val="left"/>
              <w:rPr/>
            </w:pPr>
            <w:r>
              <w:rPr/>
              <w:t>$</w:t>
            </w:r>
          </w:p>
        </w:tc>
        <w:tc>
          <w:tcPr>
            <w:tcW w:w="986" w:type="dxa"/>
            <w:tcBorders/>
            <w:shd w:fill="FFFFFF" w:val="clear"/>
            <w:vAlign w:val="center"/>
          </w:tcPr>
          <w:p>
            <w:pPr>
              <w:pStyle w:val="TableContents"/>
              <w:bidi w:val="0"/>
              <w:spacing w:before="0" w:after="283"/>
              <w:jc w:val="right"/>
              <w:rPr/>
            </w:pPr>
            <w:r>
              <w:rPr/>
              <w:t>2,039</w:t>
            </w:r>
          </w:p>
        </w:tc>
        <w:tc>
          <w:tcPr>
            <w:tcW w:w="110" w:type="dxa"/>
            <w:tcBorders/>
            <w:shd w:fill="FFFFFF" w:val="clear"/>
            <w:vAlign w:val="center"/>
          </w:tcPr>
          <w:p>
            <w:pPr>
              <w:pStyle w:val="TableContents"/>
              <w:bidi w:val="0"/>
              <w:spacing w:before="0" w:after="283"/>
              <w:jc w:val="left"/>
              <w:rPr/>
            </w:pPr>
            <w:r>
              <w:rPr/>
              <w:t> </w:t>
            </w:r>
            <w:bookmarkStart w:id="231" w:name="xdx_40D_ecustom--IssuanceOfCommonStockIn"/>
            <w:bookmarkEnd w:id="231"/>
          </w:p>
        </w:tc>
      </w:tr>
      <w:tr>
        <w:trPr/>
        <w:tc>
          <w:tcPr>
            <w:tcW w:w="7070" w:type="dxa"/>
            <w:tcBorders/>
            <w:shd w:fill="CCEEFF" w:val="clear"/>
            <w:vAlign w:val="center"/>
          </w:tcPr>
          <w:p>
            <w:pPr>
              <w:pStyle w:val="TableContents"/>
              <w:bidi w:val="0"/>
              <w:spacing w:before="0" w:after="283"/>
              <w:jc w:val="left"/>
              <w:rPr/>
            </w:pPr>
            <w:r>
              <w:rPr/>
              <w:t>Issuance of common stock in connection with settlement of obligation</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1056" w:type="dxa"/>
            <w:tcBorders/>
            <w:shd w:fill="CCEEFF" w:val="clear"/>
            <w:vAlign w:val="center"/>
          </w:tcPr>
          <w:p>
            <w:pPr>
              <w:pStyle w:val="TableContents"/>
              <w:bidi w:val="0"/>
              <w:spacing w:before="0" w:after="283"/>
              <w:jc w:val="right"/>
              <w:rPr/>
            </w:pPr>
            <w:r>
              <w:rPr/>
              <w:t>–</w:t>
            </w:r>
          </w:p>
        </w:tc>
        <w:tc>
          <w:tcPr>
            <w:tcW w:w="147"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jc w:val="left"/>
              <w:rPr/>
            </w:pPr>
            <w:r>
              <w:rPr/>
              <w:t>$</w:t>
            </w:r>
          </w:p>
        </w:tc>
        <w:tc>
          <w:tcPr>
            <w:tcW w:w="986" w:type="dxa"/>
            <w:tcBorders/>
            <w:shd w:fill="CCEEFF" w:val="clear"/>
            <w:vAlign w:val="center"/>
          </w:tcPr>
          <w:p>
            <w:pPr>
              <w:pStyle w:val="TableContents"/>
              <w:bidi w:val="0"/>
              <w:spacing w:before="0" w:after="283"/>
              <w:jc w:val="right"/>
              <w:rPr/>
            </w:pPr>
            <w:r>
              <w:rPr/>
              <w:t>79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ZAPATA QUANTUM, INC.</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2" w:name="q2_007"/>
      <w:bookmarkEnd w:id="232"/>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(Dollar amounts in thousands, except per share and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33" w:name="xdx_800_eus-gaap--BusinessDescriptionAnd"/>
      <w:bookmarkEnd w:id="233"/>
      <w:r>
        <w:rPr>
          <w:rFonts w:ascii="Times New Roman;Times;Serif" w:hAnsi="Times New Roman;Times;Serif"/>
          <w:b/>
          <w:i w:val="false"/>
          <w:caps w:val="false"/>
          <w:smallCaps w:val="false"/>
          <w:sz w:val="20"/>
        </w:rPr>
        <w:t xml:space="preserve">1. </w:t>
      </w:r>
      <w:bookmarkStart w:id="234" w:name="xdx_821_zxliAbbGwfJk"/>
      <w:bookmarkEnd w:id="234"/>
      <w:r>
        <w:rPr>
          <w:rFonts w:ascii="Times New Roman;Times;Serif" w:hAnsi="Times New Roman;Times;Serif"/>
          <w:b/>
          <w:i w:val="false"/>
          <w:caps w:val="false"/>
          <w:smallCaps w:val="false"/>
          <w:sz w:val="20"/>
        </w:rPr>
        <w:t>Nature of the Business and 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Quantum, Inc. (the “Company”, “we”, “us”, or “our”), following a strategic realignment in 2025, offers solutions to efficiently deploy and accelerate the development of quantum and hybrid quantum-classical computing applications. These solutions include software and software tools supported by services. Its software platform is based on patented technology and supports a wide range of use cases in cryptography, pharmaceuticals, manufacturing, materials discovery and defense. These planned operations are subject to the Company raising sufficient capital. The Company has worked with Fortune 500 enterprises and government agencies to unlock the potential of quantum computing.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consolidated financial statements of the Company have been prepared in conformity with accounting principles generally accepted in the United States of America (“U.S. GAAP”) and the applicable rules and regulations of the Securities and Exchange Commission (the “SEC”) regarding interim financial reporting. Certain information and note disclosures normally included in the financial statements prepared in accordance with U.S. GAAP have been condensed or omitted pursuant to such rules and regulations. We believe that the disclosures contained in these condensed financial statements are adequate to make the information presented herein not misleading. These condensed financial statements should be read in conjunction with the financial statements contained in the Company’s Annual Report on Form 10-K for the year ended December 31, 2025, filed with the SEC on March 31, 2026 (the “Annual Report”). The accompanying condensed consolidated financial statements are unaudited, and in the opinion of management, contain all adjustments, including normal recurring adjustments, necessary to present fairly the Company’s financial position as of June 30, 2026, and the results of its operations and its cash flows for the six months ended June 30, 2026 and 2025. The balance sheet as of December 31, 2025 is derived from the Company’s audited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condensed financial statements have been prepared on a going concern basis, which contemplates the realization of assets and the settlement of liabilities and commitments in the normal course of business. For the six months ended June 30, 2026, the Company recorded a net loss of $</w:t>
      </w:r>
      <w:bookmarkStart w:id="235" w:name="xdx_90A_eus-gaap--NetIncomeLoss_iN_pn3n3"/>
      <w:bookmarkEnd w:id="235"/>
      <w:r>
        <w:rPr>
          <w:rFonts w:ascii="Times New Roman;Times;Serif" w:hAnsi="Times New Roman;Times;Serif"/>
          <w:b w:val="false"/>
          <w:i w:val="false"/>
          <w:caps w:val="false"/>
          <w:smallCaps w:val="false"/>
          <w:sz w:val="20"/>
        </w:rPr>
        <w:t>3,145, used cash in operations of $</w:t>
      </w:r>
      <w:bookmarkStart w:id="236" w:name="xdx_904_eus-gaap--NetCashProvidedByUsedI"/>
      <w:bookmarkEnd w:id="236"/>
      <w:r>
        <w:rPr>
          <w:rFonts w:ascii="Times New Roman;Times;Serif" w:hAnsi="Times New Roman;Times;Serif"/>
          <w:b w:val="false"/>
          <w:i w:val="false"/>
          <w:caps w:val="false"/>
          <w:smallCaps w:val="false"/>
          <w:sz w:val="20"/>
        </w:rPr>
        <w:t>2,688, and had stockholders’ equity of $</w:t>
      </w:r>
      <w:bookmarkStart w:id="237" w:name="xdx_903_eus-gaap--StockholdersEquity_iI_"/>
      <w:bookmarkEnd w:id="237"/>
      <w:r>
        <w:rPr>
          <w:rFonts w:ascii="Times New Roman;Times;Serif" w:hAnsi="Times New Roman;Times;Serif"/>
          <w:b w:val="false"/>
          <w:i w:val="false"/>
          <w:caps w:val="false"/>
          <w:smallCaps w:val="false"/>
          <w:sz w:val="20"/>
        </w:rPr>
        <w:t>3,062 as of that date. As of June 30, 2026, the Company had a cash balance of $</w:t>
      </w:r>
      <w:bookmarkStart w:id="238" w:name="xdx_906_eus-gaap--Cash_iI_pn3n3_c2026063"/>
      <w:bookmarkEnd w:id="238"/>
      <w:r>
        <w:rPr>
          <w:rFonts w:ascii="Times New Roman;Times;Serif" w:hAnsi="Times New Roman;Times;Serif"/>
          <w:b w:val="false"/>
          <w:i w:val="false"/>
          <w:caps w:val="false"/>
          <w:smallCaps w:val="false"/>
          <w:sz w:val="20"/>
        </w:rPr>
        <w:t xml:space="preserve">12,771. Cash used in operations was primarily due to the Company’s operating losses, working capital needs, and investment in strategic growth initiatives. The Company has incurred significant losses and negative cash flows from operations since inception and expects to continue to incur losses and negative cash flows for the foreseeable future as the Company expands its penetration of the quantum computing application development market. In accordance with Accounting Standards Codification (“ASC”) 205-40, </w:t>
      </w:r>
      <w:r>
        <w:rPr>
          <w:rFonts w:ascii="Times New Roman;Times;Serif" w:hAnsi="Times New Roman;Times;Serif"/>
          <w:b w:val="false"/>
          <w:i/>
          <w:caps w:val="false"/>
          <w:smallCaps w:val="false"/>
          <w:sz w:val="20"/>
        </w:rPr>
        <w:t>Going Concern</w:t>
      </w:r>
      <w:r>
        <w:rPr>
          <w:rFonts w:ascii="Times New Roman;Times;Serif" w:hAnsi="Times New Roman;Times;Serif"/>
          <w:b w:val="false"/>
          <w:i w:val="false"/>
          <w:caps w:val="false"/>
          <w:smallCaps w:val="false"/>
          <w:sz w:val="20"/>
        </w:rPr>
        <w:t>, the Company’s management has evaluated whether there are certain conditions and events, considered in the aggregate, that raise substantial doubt about the Company’s ability to continue as a going concern within one year after the date that the condensed consolidated financial statements are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April 2026, the Company sold and issued to accredited investors a total of </w:t>
      </w:r>
      <w:bookmarkStart w:id="239" w:name="xdx_90A_eus-gaap--SaleOfStockNumberOfSha"/>
      <w:bookmarkEnd w:id="239"/>
      <w:r>
        <w:rPr>
          <w:rFonts w:ascii="Times New Roman;Times;Serif" w:hAnsi="Times New Roman;Times;Serif"/>
          <w:b w:val="false"/>
          <w:i w:val="false"/>
          <w:caps w:val="false"/>
          <w:smallCaps w:val="false"/>
          <w:sz w:val="20"/>
        </w:rPr>
        <w:t xml:space="preserve">15,000 shares of Series D preferred stock (which are convertible into </w:t>
      </w:r>
      <w:bookmarkStart w:id="240" w:name="xdx_908_eus-gaap--ConversionOfStockShare"/>
      <w:bookmarkEnd w:id="240"/>
      <w:r>
        <w:rPr>
          <w:rFonts w:ascii="Times New Roman;Times;Serif" w:hAnsi="Times New Roman;Times;Serif"/>
          <w:b w:val="false"/>
          <w:i w:val="false"/>
          <w:caps w:val="false"/>
          <w:smallCaps w:val="false"/>
          <w:sz w:val="20"/>
        </w:rPr>
        <w:t xml:space="preserve">34,160,784 shares of Common Stock, subject to adjustment) and Warrants to purchase up to </w:t>
      </w:r>
      <w:bookmarkStart w:id="241" w:name="xdx_90A_eus-gaap--ClassOfWarrantOrRightN"/>
      <w:bookmarkEnd w:id="241"/>
      <w:r>
        <w:rPr>
          <w:rFonts w:ascii="Times New Roman;Times;Serif" w:hAnsi="Times New Roman;Times;Serif"/>
          <w:b w:val="false"/>
          <w:i w:val="false"/>
          <w:caps w:val="false"/>
          <w:smallCaps w:val="false"/>
          <w:sz w:val="20"/>
        </w:rPr>
        <w:t>17,080,392 shares of Common Stock (representing 50% warrant coverage on an as-converted basis) for total gross proceeds of $</w:t>
      </w:r>
      <w:bookmarkStart w:id="242" w:name="xdx_906_eus-gaap--ProceedsFromIssuanceOf"/>
      <w:bookmarkEnd w:id="242"/>
      <w:r>
        <w:rPr>
          <w:rFonts w:ascii="Times New Roman;Times;Serif" w:hAnsi="Times New Roman;Times;Serif"/>
          <w:b w:val="false"/>
          <w:i w:val="false"/>
          <w:caps w:val="false"/>
          <w:smallCaps w:val="false"/>
          <w:sz w:val="20"/>
        </w:rPr>
        <w:t>15,000. The Company received net proceeds of $</w:t>
      </w:r>
      <w:bookmarkStart w:id="243" w:name="xdx_908_ecustom--ProceedsFromIssuanceOfW"/>
      <w:bookmarkEnd w:id="243"/>
      <w:r>
        <w:rPr>
          <w:rFonts w:ascii="Times New Roman;Times;Serif" w:hAnsi="Times New Roman;Times;Serif"/>
          <w:b w:val="false"/>
          <w:i w:val="false"/>
          <w:caps w:val="false"/>
          <w:smallCaps w:val="false"/>
          <w:sz w:val="20"/>
        </w:rPr>
        <w:t>13,838 after deducting commissions and fees (see Note 6). The Company intends to use the net proceeds for working capital and general corporate purposes. As of the issuance date of these financial statements, management now expects that the Company’s existing cash will be sufficient to fund the Company’s current operating plan for at least twelve months from the date of issuance of these financial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bookmarkStart w:id="244" w:name="xdx_23A_z3OI6fiNIN2j"/>
      <w:bookmarkEnd w:id="244"/>
      <w:r>
        <w:rPr>
          <w:caps w:val="false"/>
          <w:smallCaps w:val="false"/>
        </w:rPr>
        <w:t> </w:t>
      </w:r>
    </w:p>
    <w:p>
      <w:pPr>
        <w:pStyle w:val="TextBody"/>
        <w:bidi w:val="0"/>
        <w:spacing w:before="0" w:after="0"/>
        <w:ind w:left="0" w:right="0" w:firstLine="360"/>
        <w:jc w:val="both"/>
        <w:rPr>
          <w:caps w:val="false"/>
          <w:smallCaps w:val="false"/>
        </w:rPr>
      </w:pPr>
      <w:bookmarkStart w:id="245" w:name="xdx_239_zy7omEjWt88e"/>
      <w:bookmarkEnd w:id="245"/>
      <w:r>
        <w:rPr>
          <w:caps w:val="false"/>
          <w:smallCaps w:val="false"/>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caps w:val="false"/>
          <w:smallCaps w:val="false"/>
        </w:rPr>
      </w:pPr>
      <w:bookmarkStart w:id="246" w:name="xdx_236_zNmqG2PYQz3"/>
      <w:bookmarkEnd w:id="246"/>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risks and uncertainties similar to those of other companies of similar size in its industry, including, but not limited to, the need for successful development of products, competition from substitute products and services from larger companies, protection of proprietary technology, patent litigation, dependence on key individuals, risks associated with changes in information technology, and the ability to raise additional capital to fund operations. The Company’s long-term success is dependent upon its ability to successfully market, deliver, and scale its quantum computing application development solutions, increase revenue, meet its obligations, obtain additional capital when needed and, ultimately, achieve profitable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Management believes that it will be able to continue to raise funds by sale of its securities to provide the additional cash needed to meet the Company’s obligations, the restructuring activities aimed at restarting certain aspects of its core business require substantial funds to implement and there is no assurance that the Company will be able to continue raising the additional capital necessary to continue operations and execute on the Company’s business plan.</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47" w:name="xdx_800_eus-gaap--SignificantAccountingP"/>
      <w:bookmarkEnd w:id="247"/>
      <w:r>
        <w:rPr>
          <w:rFonts w:ascii="Times New Roman;Times;Serif" w:hAnsi="Times New Roman;Times;Serif"/>
          <w:b/>
          <w:i w:val="false"/>
          <w:caps w:val="false"/>
          <w:smallCaps w:val="false"/>
          <w:sz w:val="20"/>
        </w:rPr>
        <w:t xml:space="preserve">2. </w:t>
      </w:r>
      <w:bookmarkStart w:id="248" w:name="xdx_828_zsjFvROP67Ne"/>
      <w:bookmarkEnd w:id="248"/>
      <w:r>
        <w:rPr>
          <w:rFonts w:ascii="Times New Roman;Times;Serif" w:hAnsi="Times New Roman;Times;Serif"/>
          <w:b/>
          <w:i w:val="false"/>
          <w:caps w:val="false"/>
          <w:smallCaps w:val="false"/>
          <w:sz w:val="20"/>
        </w:rPr>
        <w:t>Summary of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significant accounting policies are detailed in “Note 2. Summary of Significant Accounting Policies” of the Company’s Annual Report. The Company uses the same accounting policies in preparing its quarterly and annual consolidated financial statements. There have been no material changes to significant accounting policies during the six months ended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49" w:name="xdx_867_zmlA2nNdzlkd"/>
      <w:bookmarkStart w:id="250" w:name="xdx_848_eus-gaap--UseOfEstimates_z1C6HrC"/>
      <w:bookmarkEnd w:id="249"/>
      <w:bookmarkEnd w:id="250"/>
      <w:r>
        <w:rPr>
          <w:rFonts w:ascii="Times New Roman;Times;Serif" w:hAnsi="Times New Roman;Times;Serif"/>
          <w:b/>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unaudited condensed consolidated financial statements in conformity with U.S. GAAP requires management to make estimates and assumptions that affect the reported amounts of assets and liabilities and the disclosure of contingent assets and liabilities at the date of the unaudited condensed consolidated financial statements and the reported amounts of revenues and expenses during the reporting periods. Significant estimates and assumptions reflected within these condensed consolidated financial statements include, but are not limited to, accruals for potential liabilities, the valuation of the Company’s Common Stock, and the fair value of stock-based awards. The Company’s estimates are based on historical information available as of the date of the unaudited condensed consolidated financial statements and various other assumptions that the Company believes are reasonable under the circumstances. Actual results may differ materially from those estimates or assumptions.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51" w:name="xdx_861_ztBJxxeJZpKb"/>
      <w:bookmarkStart w:id="252" w:name="xdx_847_eus-gaap--DerivativesPolicyTextB"/>
      <w:bookmarkEnd w:id="251"/>
      <w:bookmarkEnd w:id="252"/>
      <w:r>
        <w:rPr>
          <w:rFonts w:ascii="Times New Roman;Times;Serif" w:hAnsi="Times New Roman;Times;Serif"/>
          <w:b/>
          <w:i/>
          <w:caps w:val="false"/>
          <w:smallCaps w:val="false"/>
          <w:sz w:val="20"/>
        </w:rPr>
        <w:t>Warrant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warrants as either equity-classified or liability-classified instruments based on an assessment of the instruments’ specific terms and applicable authoritative guidance in ASC 480 and ASC 815. The assessment considers whether the instruments are freestanding financial instruments pursuant to ASC 480, meet the definition of a liability pursuant to ASC 480, and whether the instruments meet all of the requirements for equity classification under ASC 815, including whether the instruments are indexed to the Company’s own Common Stock and whether the instrument holders could potentially require net cash settlement in a circumstance outside of the Company’s control, among other conditions for equity classification. This assessment, which requires the use of professional judgment, is conducted at the time of warrant issuance and, for liability-classified warrants, at each reporting period end date while the warrants are outstanding.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bookmarkStart w:id="253" w:name="xdx_238_zr7KAEUP10ij"/>
      <w:bookmarkEnd w:id="253"/>
      <w:r>
        <w:rPr>
          <w:caps w:val="false"/>
          <w:smallCaps w:val="false"/>
        </w:rPr>
        <w:t> </w:t>
      </w:r>
    </w:p>
    <w:p>
      <w:pPr>
        <w:pStyle w:val="TextBody"/>
        <w:bidi w:val="0"/>
        <w:spacing w:before="0" w:after="0"/>
        <w:ind w:left="0" w:right="0" w:firstLine="360"/>
        <w:jc w:val="both"/>
        <w:rPr>
          <w:caps w:val="false"/>
          <w:smallCaps w:val="false"/>
        </w:rPr>
      </w:pPr>
      <w:bookmarkStart w:id="254" w:name="xdx_230_zZE4bqlegHN3"/>
      <w:bookmarkEnd w:id="254"/>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caps w:val="false"/>
          <w:smallCaps w:val="false"/>
        </w:rPr>
      </w:pPr>
      <w:bookmarkStart w:id="255" w:name="xdx_236_zox5GfmP4Gkj"/>
      <w:bookmarkEnd w:id="255"/>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56" w:name="xdx_861_zLqMfmGl1ib1"/>
      <w:bookmarkStart w:id="257" w:name="xdx_845_eus-gaap--StockholdersEquityPoli"/>
      <w:bookmarkEnd w:id="256"/>
      <w:bookmarkEnd w:id="257"/>
      <w:r>
        <w:rPr>
          <w:rFonts w:ascii="Times New Roman;Times;Serif" w:hAnsi="Times New Roman;Times;Serif"/>
          <w:b/>
          <w:i/>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classification of all preferred stock issued in accordance with the applicable guidance in ASC 480, Distinguishing Liabilities from Equity, and other relevant U.S. GAAP. Preferred stock that is mandatorily redeemable or otherwise embodies an obligation requiring the Company to redeem the instrument for cash or other assets is classified as a liability. Preferred stock that is redeemable upon the occurrence of events that are outside the Company’s control, or at the option of the holder, is classified as temporary (mezzanine) equity in accordance with SEC guidance. Preferred stock that is not mandatorily redeemable and does not contain redemption features requiring temporary equity classification is classified as permanent equity within stockholders’ equity.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evaluates the terms of each preferred stock issuance to determine whether any embedded features require separate accounting under ASC 815, Derivatives and Hedging. If no such features require separate accounting and the preferred stock qualifies for equity classification, the instrument is recorded within stockholders’ equity. Issuance costs directly attributable to equity-classified preferred stock are recorded as a reduction of the carrying amount of the related equity instrument, net of any applicable tax effects.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58" w:name="xdx_866_z1ldMGNCuO46"/>
      <w:bookmarkStart w:id="259" w:name="xdx_84C_eus-gaap--BasisOfPresentationAnd"/>
      <w:bookmarkEnd w:id="258"/>
      <w:bookmarkEnd w:id="259"/>
      <w:r>
        <w:rPr>
          <w:rFonts w:ascii="Times New Roman;Times;Serif" w:hAnsi="Times New Roman;Times;Serif"/>
          <w:b/>
          <w:i/>
          <w:caps w:val="false"/>
          <w:smallCaps w:val="false"/>
          <w:sz w:val="20"/>
        </w:rPr>
        <w:t>Other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other significant accounting policies are detailed in “Note 2. Summary of Significant Accounting Policies” of the Company’s Annual Report. The Company uses the same accounting policies in preparing its quarterly and annual consolidated financial statements. There have been no material changes to significant accounting policies during the six months ended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bookmarkStart w:id="260" w:name="xdx_86F_za5H9njTOwch"/>
      <w:bookmarkStart w:id="261" w:name="xdx_84C_eus-gaap--NewAccountingPronounce"/>
      <w:bookmarkEnd w:id="260"/>
      <w:bookmarkEnd w:id="261"/>
      <w:r>
        <w:rPr>
          <w:rFonts w:ascii="Times New Roman;Times;Serif" w:hAnsi="Times New Roman;Times;Serif"/>
          <w:b/>
          <w:i/>
          <w:caps w:val="false"/>
          <w:smallCaps w:val="false"/>
          <w:sz w:val="20"/>
        </w:rPr>
        <w:t>Recently Issued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Disaggregation of Income Statement Expenses</w:t>
      </w:r>
      <w:r>
        <w:rPr>
          <w:rFonts w:ascii="Times New Roman;Times;Serif" w:hAnsi="Times New Roman;Times;Serif"/>
          <w:b w:val="false"/>
          <w:i w:val="false"/>
          <w:caps w:val="false"/>
          <w:smallCaps w:val="false"/>
          <w:sz w:val="20"/>
        </w:rPr>
        <w:t>. This ASU requires more detailed disclosures, on an annual and interim basis, about specified categories of expenses (including employee compensation, depreciation, and amortization) included in certain expense captions presented on the face of the income statement. This ASU is effective for fiscal years beginning after December 15, 2026, and interim periods within fiscal years beginning after December 15, 2027. Early adoption is permitted. This ASU may be applied either prospectively or retrospectively. The Company is currently in the process of evaluating the impact of this pronouncement on its related disclosures.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recent accounting pronouncements and guidance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262" w:name="xdx_80D_eus-gaap--AccountsPayableAccrued"/>
      <w:bookmarkEnd w:id="262"/>
      <w:r>
        <w:rPr>
          <w:rFonts w:ascii="Times New Roman;Times;Serif" w:hAnsi="Times New Roman;Times;Serif"/>
          <w:b/>
          <w:i w:val="false"/>
          <w:caps w:val="false"/>
          <w:smallCaps w:val="false"/>
          <w:sz w:val="20"/>
        </w:rPr>
        <w:t xml:space="preserve">3. </w:t>
      </w:r>
      <w:bookmarkStart w:id="263" w:name="xdx_828_zxDitDMvxtfl"/>
      <w:bookmarkEnd w:id="263"/>
      <w:r>
        <w:rPr>
          <w:rFonts w:ascii="Times New Roman;Times;Serif" w:hAnsi="Times New Roman;Times;Serif"/>
          <w:b/>
          <w:i w:val="false"/>
          <w:caps w:val="false"/>
          <w:smallCaps w:val="false"/>
          <w:sz w:val="20"/>
        </w:rPr>
        <w:t>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consisted of the following:</w:t>
      </w:r>
    </w:p>
    <w:p>
      <w:pPr>
        <w:pStyle w:val="Normal"/>
        <w:bidi w:val="0"/>
        <w:spacing w:before="0" w:after="0"/>
        <w:ind w:left="0" w:right="0" w:firstLine="360"/>
        <w:jc w:val="left"/>
        <w:rPr>
          <w:sz w:val="4"/>
          <w:szCs w:val="4"/>
        </w:rPr>
      </w:pPr>
      <w:r>
        <w:rPr>
          <w:sz w:val="4"/>
          <w:szCs w:val="4"/>
        </w:rPr>
      </w:r>
      <w:bookmarkStart w:id="264" w:name="xdx_898_eus-gaap--ScheduleOfAccountsPaya"/>
      <w:bookmarkStart w:id="265" w:name="xdx_898_eus-gaap--ScheduleOfAccountsPaya"/>
      <w:bookmarkEnd w:id="265"/>
    </w:p>
    <w:tbl>
      <w:tblPr>
        <w:tblW w:w="7980" w:type="dxa"/>
        <w:jc w:val="left"/>
        <w:tblInd w:w="0" w:type="dxa"/>
        <w:tblLayout w:type="fixed"/>
        <w:tblCellMar>
          <w:top w:w="0" w:type="dxa"/>
          <w:left w:w="0" w:type="dxa"/>
          <w:bottom w:w="0" w:type="dxa"/>
          <w:right w:w="0" w:type="dxa"/>
        </w:tblCellMar>
      </w:tblPr>
      <w:tblGrid>
        <w:gridCol w:w="5435"/>
        <w:gridCol w:w="60"/>
        <w:gridCol w:w="175"/>
        <w:gridCol w:w="700"/>
        <w:gridCol w:w="60"/>
        <w:gridCol w:w="60"/>
        <w:gridCol w:w="283"/>
        <w:gridCol w:w="1132"/>
        <w:gridCol w:w="75"/>
      </w:tblGrid>
      <w:tr>
        <w:trPr/>
        <w:tc>
          <w:tcPr>
            <w:tcW w:w="5435" w:type="dxa"/>
            <w:tcBorders/>
            <w:shd w:fill="FFFFFF" w:val="clear"/>
            <w:vAlign w:val="center"/>
          </w:tcPr>
          <w:p>
            <w:pPr>
              <w:pStyle w:val="TableContents"/>
              <w:bidi w:val="0"/>
              <w:spacing w:before="0" w:after="283"/>
              <w:jc w:val="left"/>
              <w:rPr/>
            </w:pPr>
            <w:bookmarkStart w:id="266" w:name="xdx_8B3_zD6AVPz05ata"/>
            <w:bookmarkEnd w:id="266"/>
            <w:r>
              <w:rPr/>
              <w:t>Schedule of 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bookmarkStart w:id="267" w:name="xdx_49E_20260630_zq1NCMvkGOB9"/>
            <w:bookmarkEnd w:id="267"/>
          </w:p>
        </w:tc>
        <w:tc>
          <w:tcPr>
            <w:tcW w:w="7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bookmarkStart w:id="268" w:name="xdx_494_20251231_zgJT4SK7vpRa"/>
            <w:bookmarkEnd w:id="268"/>
          </w:p>
        </w:tc>
        <w:tc>
          <w:tcPr>
            <w:tcW w:w="1132"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43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bookmarkStart w:id="269" w:name="xdx_409_eus-gaap--AccruedEmployeeBenefit"/>
            <w:bookmarkEnd w:id="269"/>
          </w:p>
        </w:tc>
      </w:tr>
      <w:tr>
        <w:trPr/>
        <w:tc>
          <w:tcPr>
            <w:tcW w:w="5435" w:type="dxa"/>
            <w:tcBorders/>
            <w:shd w:fill="CCEEFF" w:val="clear"/>
            <w:vAlign w:val="center"/>
          </w:tcPr>
          <w:p>
            <w:pPr>
              <w:pStyle w:val="TableContents"/>
              <w:bidi w:val="0"/>
              <w:spacing w:before="0" w:after="283"/>
              <w:jc w:val="left"/>
              <w:rPr/>
            </w:pPr>
            <w:r>
              <w:rPr/>
              <w:t>Accrued employee compensation and benefit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700" w:type="dxa"/>
            <w:tcBorders/>
            <w:shd w:fill="CCEEFF" w:val="clear"/>
            <w:vAlign w:val="center"/>
          </w:tcPr>
          <w:p>
            <w:pPr>
              <w:pStyle w:val="TableContents"/>
              <w:bidi w:val="0"/>
              <w:spacing w:before="0" w:after="283"/>
              <w:jc w:val="right"/>
              <w:rPr/>
            </w:pPr>
            <w:r>
              <w:rPr/>
              <w:t>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73</w:t>
            </w:r>
          </w:p>
        </w:tc>
        <w:tc>
          <w:tcPr>
            <w:tcW w:w="75" w:type="dxa"/>
            <w:tcBorders/>
            <w:shd w:fill="CCEEFF" w:val="clear"/>
            <w:vAlign w:val="center"/>
          </w:tcPr>
          <w:p>
            <w:pPr>
              <w:pStyle w:val="TableContents"/>
              <w:bidi w:val="0"/>
              <w:spacing w:before="0" w:after="283"/>
              <w:jc w:val="left"/>
              <w:rPr/>
            </w:pPr>
            <w:r>
              <w:rPr/>
              <w:t> </w:t>
            </w:r>
            <w:bookmarkStart w:id="270" w:name="xdx_405_eus-gaap--AccruedProfessionalFee"/>
            <w:bookmarkEnd w:id="270"/>
          </w:p>
        </w:tc>
      </w:tr>
      <w:tr>
        <w:trPr/>
        <w:tc>
          <w:tcPr>
            <w:tcW w:w="5435" w:type="dxa"/>
            <w:tcBorders/>
            <w:shd w:fill="FFFFFF" w:val="clear"/>
            <w:vAlign w:val="center"/>
          </w:tcPr>
          <w:p>
            <w:pPr>
              <w:pStyle w:val="TableContents"/>
              <w:bidi w:val="0"/>
              <w:spacing w:before="0" w:after="283"/>
              <w:jc w:val="left"/>
              <w:rPr/>
            </w:pPr>
            <w:r>
              <w:rPr/>
              <w:t>Accrued professional fees</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right"/>
              <w:rPr/>
            </w:pPr>
            <w:r>
              <w:rPr/>
              <w:t>291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right"/>
              <w:rPr/>
            </w:pPr>
            <w:r>
              <w:rPr/>
              <w:t>259</w:t>
            </w:r>
          </w:p>
        </w:tc>
        <w:tc>
          <w:tcPr>
            <w:tcW w:w="75" w:type="dxa"/>
            <w:tcBorders/>
            <w:shd w:fill="FFFFFF" w:val="clear"/>
            <w:vAlign w:val="center"/>
          </w:tcPr>
          <w:p>
            <w:pPr>
              <w:pStyle w:val="TableContents"/>
              <w:bidi w:val="0"/>
              <w:spacing w:before="0" w:after="283"/>
              <w:jc w:val="left"/>
              <w:rPr/>
            </w:pPr>
            <w:r>
              <w:rPr/>
              <w:t> </w:t>
            </w:r>
            <w:bookmarkStart w:id="271" w:name="xdx_402_eus-gaap--AccountsPayableOtherCu"/>
            <w:bookmarkEnd w:id="271"/>
          </w:p>
        </w:tc>
      </w:tr>
      <w:tr>
        <w:trPr/>
        <w:tc>
          <w:tcPr>
            <w:tcW w:w="5435" w:type="dxa"/>
            <w:tcBorders/>
            <w:shd w:fill="CCEEFF" w:val="clear"/>
            <w:vAlign w:val="center"/>
          </w:tcPr>
          <w:p>
            <w:pPr>
              <w:pStyle w:val="TableContents"/>
              <w:bidi w:val="0"/>
              <w:spacing w:before="0" w:after="283"/>
              <w:jc w:val="left"/>
              <w:rPr/>
            </w:pPr>
            <w:r>
              <w:rPr/>
              <w:t>Refunds payable</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700" w:type="dxa"/>
            <w:tcBorders/>
            <w:shd w:fill="CCEEFF" w:val="clear"/>
            <w:vAlign w:val="center"/>
          </w:tcPr>
          <w:p>
            <w:pPr>
              <w:pStyle w:val="TableContents"/>
              <w:bidi w:val="0"/>
              <w:spacing w:before="0" w:after="283"/>
              <w:jc w:val="right"/>
              <w:rPr/>
            </w:pPr>
            <w:r>
              <w:rPr/>
              <w:t>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1132" w:type="dxa"/>
            <w:tcBorders/>
            <w:shd w:fill="CCEEFF" w:val="clear"/>
            <w:vAlign w:val="center"/>
          </w:tcPr>
          <w:p>
            <w:pPr>
              <w:pStyle w:val="TableContents"/>
              <w:bidi w:val="0"/>
              <w:spacing w:before="0" w:after="283"/>
              <w:jc w:val="right"/>
              <w:rPr/>
            </w:pPr>
            <w:r>
              <w:rPr/>
              <w:t>750</w:t>
            </w:r>
          </w:p>
        </w:tc>
        <w:tc>
          <w:tcPr>
            <w:tcW w:w="75" w:type="dxa"/>
            <w:tcBorders/>
            <w:shd w:fill="CCEEFF" w:val="clear"/>
            <w:vAlign w:val="center"/>
          </w:tcPr>
          <w:p>
            <w:pPr>
              <w:pStyle w:val="TableContents"/>
              <w:bidi w:val="0"/>
              <w:spacing w:before="0" w:after="283"/>
              <w:jc w:val="left"/>
              <w:rPr/>
            </w:pPr>
            <w:r>
              <w:rPr/>
              <w:t> </w:t>
            </w:r>
            <w:bookmarkStart w:id="272" w:name="xdx_408_eus-gaap--OtherAccruedLiabilitie"/>
            <w:bookmarkEnd w:id="272"/>
          </w:p>
        </w:tc>
      </w:tr>
      <w:tr>
        <w:trPr/>
        <w:tc>
          <w:tcPr>
            <w:tcW w:w="543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pPr>
            <w:r>
              <w:rPr/>
              <w:t>404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682</w:t>
            </w:r>
          </w:p>
        </w:tc>
        <w:tc>
          <w:tcPr>
            <w:tcW w:w="75" w:type="dxa"/>
            <w:tcBorders/>
            <w:shd w:fill="FFFFFF" w:val="clear"/>
            <w:vAlign w:val="center"/>
          </w:tcPr>
          <w:p>
            <w:pPr>
              <w:pStyle w:val="TableContents"/>
              <w:bidi w:val="0"/>
              <w:spacing w:before="0" w:after="283"/>
              <w:jc w:val="left"/>
              <w:rPr/>
            </w:pPr>
            <w:r>
              <w:rPr/>
              <w:t> </w:t>
            </w:r>
            <w:bookmarkStart w:id="273" w:name="xdx_40F_eus-gaap--AccruedLiabilitiesAndO"/>
            <w:bookmarkEnd w:id="273"/>
          </w:p>
        </w:tc>
      </w:tr>
      <w:tr>
        <w:trPr/>
        <w:tc>
          <w:tcPr>
            <w:tcW w:w="5435"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1,590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1,764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274" w:name="xdx_8A5_zYJPdxUCiwh2"/>
      <w:bookmarkEnd w:id="274"/>
      <w:r>
        <w:rPr>
          <w:caps w:val="false"/>
          <w:smallCaps w:val="false"/>
        </w:rPr>
        <w:t> </w:t>
      </w:r>
    </w:p>
    <w:p>
      <w:pPr>
        <w:pStyle w:val="TextBody"/>
        <w:bidi w:val="0"/>
        <w:spacing w:before="0" w:after="0"/>
        <w:ind w:left="0" w:right="0" w:hanging="0"/>
        <w:jc w:val="left"/>
        <w:rPr>
          <w:caps w:val="false"/>
          <w:smallCaps w:val="false"/>
        </w:rPr>
      </w:pPr>
      <w:bookmarkStart w:id="275" w:name="xdx_238_zAdqT3701o06"/>
      <w:bookmarkEnd w:id="275"/>
      <w:r>
        <w:rPr>
          <w:caps w:val="false"/>
          <w:smallCaps w:val="false"/>
        </w:rPr>
        <w:t> </w:t>
      </w:r>
    </w:p>
    <w:p>
      <w:pPr>
        <w:pStyle w:val="TextBody"/>
        <w:bidi w:val="0"/>
        <w:spacing w:before="0" w:after="0"/>
        <w:ind w:left="0" w:right="0" w:hanging="0"/>
        <w:jc w:val="left"/>
        <w:rPr>
          <w:caps w:val="false"/>
          <w:smallCaps w:val="false"/>
        </w:rPr>
      </w:pPr>
      <w:bookmarkStart w:id="276" w:name="xdx_23A_zuSoInbn0nF8"/>
      <w:bookmarkEnd w:id="276"/>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277" w:name="xdx_235_z4Jt8ZzOfyQ4"/>
      <w:bookmarkEnd w:id="277"/>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278" w:name="xdx_809_eus-gaap--DebtDisclosureTextBloc"/>
      <w:bookmarkEnd w:id="278"/>
      <w:r>
        <w:rPr>
          <w:rFonts w:ascii="Times New Roman;Times;Serif" w:hAnsi="Times New Roman;Times;Serif"/>
          <w:b/>
          <w:i w:val="false"/>
          <w:caps w:val="false"/>
          <w:smallCaps w:val="false"/>
          <w:sz w:val="20"/>
        </w:rPr>
        <w:t xml:space="preserve">4. </w:t>
      </w:r>
      <w:bookmarkStart w:id="279" w:name="xdx_827_zuQbp9SaKf7c"/>
      <w:bookmarkEnd w:id="279"/>
      <w:r>
        <w:rPr>
          <w:rFonts w:ascii="Times New Roman;Times;Serif" w:hAnsi="Times New Roman;Times;Serif"/>
          <w:b/>
          <w:i w:val="false"/>
          <w:caps w:val="false"/>
          <w:smallCaps w:val="false"/>
          <w:sz w:val="20"/>
        </w:rPr>
        <w:t>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principal amount of debt outstanding as of June 30, 2026 and December 31, 2025 consisted of the following:</w:t>
      </w:r>
    </w:p>
    <w:p>
      <w:pPr>
        <w:pStyle w:val="Normal"/>
        <w:bidi w:val="0"/>
        <w:spacing w:before="0" w:after="0"/>
        <w:ind w:left="0" w:right="0" w:firstLine="360"/>
        <w:jc w:val="left"/>
        <w:rPr>
          <w:sz w:val="4"/>
          <w:szCs w:val="4"/>
        </w:rPr>
      </w:pPr>
      <w:r>
        <w:rPr>
          <w:sz w:val="4"/>
          <w:szCs w:val="4"/>
        </w:rPr>
      </w:r>
      <w:bookmarkStart w:id="280" w:name="xdx_898_eus-gaap--ScheduleOfDebtTableTex"/>
      <w:bookmarkStart w:id="281" w:name="xdx_898_eus-gaap--ScheduleOfDebtTableTex"/>
      <w:bookmarkEnd w:id="281"/>
    </w:p>
    <w:tbl>
      <w:tblPr>
        <w:tblW w:w="8205" w:type="dxa"/>
        <w:jc w:val="left"/>
        <w:tblInd w:w="0" w:type="dxa"/>
        <w:tblLayout w:type="fixed"/>
        <w:tblCellMar>
          <w:top w:w="0" w:type="dxa"/>
          <w:left w:w="0" w:type="dxa"/>
          <w:bottom w:w="0" w:type="dxa"/>
          <w:right w:w="0" w:type="dxa"/>
        </w:tblCellMar>
      </w:tblPr>
      <w:tblGrid>
        <w:gridCol w:w="5660"/>
        <w:gridCol w:w="60"/>
        <w:gridCol w:w="175"/>
        <w:gridCol w:w="700"/>
        <w:gridCol w:w="60"/>
        <w:gridCol w:w="60"/>
        <w:gridCol w:w="283"/>
        <w:gridCol w:w="1132"/>
        <w:gridCol w:w="75"/>
      </w:tblGrid>
      <w:tr>
        <w:trPr/>
        <w:tc>
          <w:tcPr>
            <w:tcW w:w="5660" w:type="dxa"/>
            <w:tcBorders/>
            <w:shd w:fill="FFFFFF" w:val="clear"/>
            <w:vAlign w:val="center"/>
          </w:tcPr>
          <w:p>
            <w:pPr>
              <w:pStyle w:val="TableContents"/>
              <w:bidi w:val="0"/>
              <w:spacing w:before="0" w:after="283"/>
              <w:jc w:val="left"/>
              <w:rPr/>
            </w:pPr>
            <w:bookmarkStart w:id="282" w:name="xdx_8B3_znvvpFwKvrK6"/>
            <w:bookmarkEnd w:id="282"/>
            <w:r>
              <w:rPr/>
              <w:t>Schedule of aggregate principal amount of debt outstanding</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70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1132"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6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75" w:type="dxa"/>
            <w:tcBorders/>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Senior secured notes</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bookmarkStart w:id="283" w:name="xdx_982_eus-gaap--ConvertibleDebt_iI_pn3"/>
            <w:bookmarkEnd w:id="283"/>
          </w:p>
        </w:tc>
        <w:tc>
          <w:tcPr>
            <w:tcW w:w="700" w:type="dxa"/>
            <w:tcBorders/>
            <w:shd w:fill="CCEEFF" w:val="clear"/>
            <w:vAlign w:val="center"/>
          </w:tcPr>
          <w:p>
            <w:pPr>
              <w:pStyle w:val="TableContents"/>
              <w:bidi w:val="0"/>
              <w:spacing w:before="0" w:after="283"/>
              <w:jc w:val="right"/>
              <w:rPr/>
            </w:pPr>
            <w:r>
              <w:rPr/>
              <w:t>1,430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bookmarkStart w:id="284" w:name="xdx_988_eus-gaap--ConvertibleDebt_iI_pn3"/>
            <w:bookmarkEnd w:id="284"/>
          </w:p>
        </w:tc>
        <w:tc>
          <w:tcPr>
            <w:tcW w:w="1132" w:type="dxa"/>
            <w:tcBorders/>
            <w:shd w:fill="CCEEFF" w:val="clear"/>
            <w:vAlign w:val="center"/>
          </w:tcPr>
          <w:p>
            <w:pPr>
              <w:pStyle w:val="TableContents"/>
              <w:bidi w:val="0"/>
              <w:spacing w:before="0" w:after="283"/>
              <w:jc w:val="right"/>
              <w:rPr/>
            </w:pPr>
            <w:r>
              <w:rPr/>
              <w:t>1,273</w:t>
            </w:r>
          </w:p>
        </w:tc>
        <w:tc>
          <w:tcPr>
            <w:tcW w:w="75" w:type="dxa"/>
            <w:tcBorders/>
            <w:shd w:fill="CCEEFF" w:val="clear"/>
            <w:vAlign w:val="center"/>
          </w:tcPr>
          <w:p>
            <w:pPr>
              <w:pStyle w:val="TableContents"/>
              <w:bidi w:val="0"/>
              <w:spacing w:before="0" w:after="283"/>
              <w:jc w:val="left"/>
              <w:rPr/>
            </w:pPr>
            <w:r>
              <w:rPr/>
              <w:t> </w:t>
            </w:r>
          </w:p>
        </w:tc>
      </w:tr>
      <w:tr>
        <w:trPr/>
        <w:tc>
          <w:tcPr>
            <w:tcW w:w="5660" w:type="dxa"/>
            <w:tcBorders/>
            <w:shd w:fill="FFFFFF" w:val="clear"/>
            <w:vAlign w:val="center"/>
          </w:tcPr>
          <w:p>
            <w:pPr>
              <w:pStyle w:val="TableContents"/>
              <w:bidi w:val="0"/>
              <w:spacing w:before="0" w:after="283"/>
              <w:jc w:val="left"/>
              <w:rPr/>
            </w:pPr>
            <w:r>
              <w:rPr/>
              <w:t>Convertible promissory notes, net</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85" w:name="xdx_98E_eus-gaap--ConvertibleDebt_iI_pn3"/>
            <w:bookmarkEnd w:id="285"/>
          </w:p>
        </w:tc>
        <w:tc>
          <w:tcPr>
            <w:tcW w:w="700" w:type="dxa"/>
            <w:tcBorders>
              <w:bottom w:val="single" w:sz="8" w:space="0" w:color="000000"/>
            </w:tcBorders>
            <w:shd w:fill="FFFFFF" w:val="clear"/>
            <w:tcMar>
              <w:bottom w:w="28" w:type="dxa"/>
            </w:tcMar>
            <w:vAlign w:val="center"/>
          </w:tcPr>
          <w:p>
            <w:pPr>
              <w:pStyle w:val="TableContents"/>
              <w:bidi w:val="0"/>
              <w:spacing w:before="0" w:after="283"/>
              <w:jc w:val="right"/>
              <w:rPr/>
            </w:pPr>
            <w:r>
              <w:rPr/>
              <w:t>3,107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286" w:name="xdx_98B_eus-gaap--ConvertibleDebt_iI_pn3"/>
            <w:bookmarkEnd w:id="286"/>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3,133</w:t>
            </w:r>
          </w:p>
        </w:tc>
        <w:tc>
          <w:tcPr>
            <w:tcW w:w="7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283"/>
              <w:jc w:val="left"/>
              <w:rPr/>
            </w:pPr>
            <w:r>
              <w:rPr/>
              <w:t>Total Debt</w:t>
            </w:r>
          </w:p>
        </w:tc>
        <w:tc>
          <w:tcPr>
            <w:tcW w:w="60" w:type="dxa"/>
            <w:tcBorders/>
            <w:shd w:fill="CCEEFF" w:val="clear"/>
            <w:vAlign w:val="center"/>
          </w:tcPr>
          <w:p>
            <w:pPr>
              <w:pStyle w:val="TableContents"/>
              <w:bidi w:val="0"/>
              <w:spacing w:before="0" w:after="283"/>
              <w:jc w:val="left"/>
              <w:rPr/>
            </w:pPr>
            <w:r>
              <w:rPr/>
              <w:t> </w:t>
            </w:r>
          </w:p>
        </w:tc>
        <w:tc>
          <w:tcPr>
            <w:tcW w:w="17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87" w:name="xdx_98B_eus-gaap--ConvertibleDebt_iI_pn3"/>
            <w:bookmarkEnd w:id="287"/>
          </w:p>
        </w:tc>
        <w:tc>
          <w:tcPr>
            <w:tcW w:w="700" w:type="dxa"/>
            <w:tcBorders>
              <w:bottom w:val="double" w:sz="6" w:space="0" w:color="000000"/>
            </w:tcBorders>
            <w:shd w:fill="CCEEFF" w:val="clear"/>
            <w:tcMar>
              <w:bottom w:w="28" w:type="dxa"/>
            </w:tcMar>
            <w:vAlign w:val="center"/>
          </w:tcPr>
          <w:p>
            <w:pPr>
              <w:pStyle w:val="TableContents"/>
              <w:bidi w:val="0"/>
              <w:spacing w:before="0" w:after="283"/>
              <w:jc w:val="right"/>
              <w:rPr/>
            </w:pPr>
            <w:r>
              <w:rPr/>
              <w:t>4,537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288" w:name="xdx_988_eus-gaap--ConvertibleDebt_iI_pn3"/>
            <w:bookmarkEnd w:id="288"/>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4,406</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54"/>
        <w:jc w:val="left"/>
        <w:rPr>
          <w:caps w:val="false"/>
          <w:smallCaps w:val="false"/>
        </w:rPr>
      </w:pPr>
      <w:bookmarkStart w:id="289" w:name="xdx_8AD_zScVSnTqfvX4"/>
      <w:bookmarkEnd w:id="289"/>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Senior Secured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Senior Secured Notes bear interest at the compound rate of </w:t>
      </w:r>
      <w:bookmarkStart w:id="290" w:name="xdx_908_eus-gaap--DebtInstrumentInterest"/>
      <w:bookmarkEnd w:id="290"/>
      <w:r>
        <w:rPr>
          <w:rFonts w:ascii="Times New Roman;Times;Serif" w:hAnsi="Times New Roman;Times;Serif"/>
          <w:b w:val="false"/>
          <w:i w:val="false"/>
          <w:caps w:val="false"/>
          <w:smallCaps w:val="false"/>
          <w:sz w:val="20"/>
        </w:rPr>
        <w:t>15% per annum and are convertible at the option of each noteholder at $</w:t>
      </w:r>
      <w:bookmarkStart w:id="291" w:name="xdx_909_eus-gaap--DebtInstrumentConverti"/>
      <w:bookmarkEnd w:id="291"/>
      <w:r>
        <w:rPr>
          <w:rFonts w:ascii="Times New Roman;Times;Serif" w:hAnsi="Times New Roman;Times;Serif"/>
          <w:b w:val="false"/>
          <w:i w:val="false"/>
          <w:caps w:val="false"/>
          <w:smallCaps w:val="false"/>
          <w:sz w:val="20"/>
        </w:rPr>
        <w:t>8.50 per share. The outstanding principal amount of the Senior Secured Notes of $</w:t>
      </w:r>
      <w:bookmarkStart w:id="292" w:name="xdx_90A_eus-gaap--DebtInstrumentIssuedPr"/>
      <w:bookmarkEnd w:id="292"/>
      <w:r>
        <w:rPr>
          <w:rFonts w:ascii="Times New Roman;Times;Serif" w:hAnsi="Times New Roman;Times;Serif"/>
          <w:b w:val="false"/>
          <w:i w:val="false"/>
          <w:caps w:val="false"/>
          <w:smallCaps w:val="false"/>
          <w:sz w:val="20"/>
        </w:rPr>
        <w:t xml:space="preserve">1,000 and all accrued but unpaid interest will be due and payable at the maturity date, </w:t>
      </w:r>
      <w:bookmarkStart w:id="293" w:name="xdx_907_eus-gaap--DebtInstrumentMaturity"/>
      <w:bookmarkEnd w:id="293"/>
      <w:r>
        <w:rPr>
          <w:rFonts w:ascii="Times New Roman;Times;Serif" w:hAnsi="Times New Roman;Times;Serif"/>
          <w:b w:val="false"/>
          <w:i w:val="false"/>
          <w:caps w:val="false"/>
          <w:smallCaps w:val="false"/>
          <w:sz w:val="20"/>
        </w:rPr>
        <w:t xml:space="preserve">December 15, 2026, unless otherwise converted. While any Senior Secured Notes are outstanding, the Company cannot incur additional indebtedness for borrowed funds, except additional Senior Secured Notes, substantially similar notes or other debt instruments that are pari passu with or subordinate to the Senior Secured Notes. As of June 30, 2026, the Senior Secured Notes are potentially convertible into </w:t>
      </w:r>
      <w:bookmarkStart w:id="294" w:name="xdx_90B_ecustom--ConversionOfStockShares"/>
      <w:bookmarkEnd w:id="294"/>
      <w:r>
        <w:rPr>
          <w:rFonts w:ascii="Times New Roman;Times;Serif" w:hAnsi="Times New Roman;Times;Serif"/>
          <w:b w:val="false"/>
          <w:i w:val="false"/>
          <w:caps w:val="false"/>
          <w:smallCaps w:val="false"/>
          <w:sz w:val="20"/>
        </w:rPr>
        <w:t>168,184 shares of the Company’s common stock.</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aggregate principal and accrued interest outstanding under the Senior Secured Notes totaled $</w:t>
      </w:r>
      <w:bookmarkStart w:id="295" w:name="xdx_90E_eus-gaap--NotesPayable_iI_pn3n3_"/>
      <w:bookmarkEnd w:id="295"/>
      <w:r>
        <w:rPr>
          <w:rFonts w:ascii="Times New Roman;Times;Serif" w:hAnsi="Times New Roman;Times;Serif"/>
          <w:b w:val="false"/>
          <w:i w:val="false"/>
          <w:caps w:val="false"/>
          <w:smallCaps w:val="false"/>
          <w:sz w:val="20"/>
        </w:rPr>
        <w:t>1,273. The Company recognized approximately $</w:t>
      </w:r>
      <w:bookmarkStart w:id="296" w:name="xdx_90E_eus-gaap--InterestExpense_pn3n3_"/>
      <w:bookmarkEnd w:id="296"/>
      <w:r>
        <w:rPr>
          <w:rFonts w:ascii="Times New Roman;Times;Serif" w:hAnsi="Times New Roman;Times;Serif"/>
          <w:b w:val="false"/>
          <w:i w:val="false"/>
          <w:caps w:val="false"/>
          <w:smallCaps w:val="false"/>
          <w:sz w:val="20"/>
        </w:rPr>
        <w:t>157 of interest expense for the six months ended June 30, 2026, which is included within interest expense in the condensed consolidated statements of operations and comprehensive income (loss). As of June 30, 2026, the aggregate principal and accrued interest outstanding under the Senior Secured Notes totaled $</w:t>
      </w:r>
      <w:bookmarkStart w:id="297" w:name="xdx_90D_eus-gaap--NotesPayable_iI_pn3n3_"/>
      <w:bookmarkEnd w:id="297"/>
      <w:r>
        <w:rPr>
          <w:rFonts w:ascii="Times New Roman;Times;Serif" w:hAnsi="Times New Roman;Times;Serif"/>
          <w:b w:val="false"/>
          <w:i w:val="false"/>
          <w:caps w:val="false"/>
          <w:smallCaps w:val="false"/>
          <w:sz w:val="20"/>
        </w:rPr>
        <w:t>1,430.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2025, the Company entered into a securities purchase agreement with accredited investors pursuant to which the Company issued secured convertible promissory notes (the “Convertible Promissory Notes”) and warrants to purchase an aggregate of </w:t>
      </w:r>
      <w:bookmarkStart w:id="298" w:name="xdx_902_eus-gaap--ClassOfWarrantOrRightN"/>
      <w:bookmarkEnd w:id="298"/>
      <w:r>
        <w:rPr>
          <w:rFonts w:ascii="Times New Roman;Times;Serif" w:hAnsi="Times New Roman;Times;Serif"/>
          <w:b w:val="false"/>
          <w:i w:val="false"/>
          <w:caps w:val="false"/>
          <w:smallCaps w:val="false"/>
          <w:sz w:val="20"/>
        </w:rPr>
        <w:t>37,500,000 shares of the Company’s common stock (the “Warrants”) for aggregate gross proceeds of $</w:t>
      </w:r>
      <w:bookmarkStart w:id="299" w:name="xdx_909_ecustom--ProceedsFromIssuanceOfN"/>
      <w:bookmarkEnd w:id="299"/>
      <w:r>
        <w:rPr>
          <w:rFonts w:ascii="Times New Roman;Times;Serif" w:hAnsi="Times New Roman;Times;Serif"/>
          <w:b w:val="false"/>
          <w:i w:val="false"/>
          <w:caps w:val="false"/>
          <w:smallCaps w:val="false"/>
          <w:sz w:val="20"/>
        </w:rPr>
        <w:t>3.0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Convertible Promissory Notes bear simple interest at a rate of </w:t>
      </w:r>
      <w:bookmarkStart w:id="300" w:name="xdx_90A_eus-gaap--DebtInstrumentInterest"/>
      <w:bookmarkEnd w:id="300"/>
      <w:r>
        <w:rPr>
          <w:rFonts w:ascii="Times New Roman;Times;Serif" w:hAnsi="Times New Roman;Times;Serif"/>
          <w:b w:val="false"/>
          <w:i w:val="false"/>
          <w:caps w:val="false"/>
          <w:smallCaps w:val="false"/>
          <w:sz w:val="20"/>
        </w:rPr>
        <w:t>10.00% per annum and had an original maturity date in June 2026, unless earlier converted or repaid in accordance with their terms. Interest accrues daily based on a 360-day year and is not payable in cash before maturity unless the Convertible Promissory Notes are repaid before conversion. The conversion price is $</w:t>
      </w:r>
      <w:bookmarkStart w:id="301" w:name="xdx_907_eus-gaap--DebtInstrumentConverti"/>
      <w:bookmarkEnd w:id="301"/>
      <w:r>
        <w:rPr>
          <w:rFonts w:ascii="Times New Roman;Times;Serif" w:hAnsi="Times New Roman;Times;Serif"/>
          <w:b w:val="false"/>
          <w:i w:val="false"/>
          <w:caps w:val="false"/>
          <w:smallCaps w:val="false"/>
          <w:sz w:val="20"/>
        </w:rPr>
        <w:t>0.04 per share, subject to customary anti-dilution adjustments for stock splits, stock dividends, combinations, or recapitalizations.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June 1, 2026, the Company and the holders amended the Convertible Promissory Notes to extend the maturity date to June 2027 and replace the provision requiring automatic conversion upon the closing of a qualified financing. Under the amended terms, if (i) the volume-weighted average price of the Company’s common stock on the immediately preceding trading day equals or exceeds $0.60 per share and (ii) the average daily traded value of the Company’s common stock for the five immediately preceding trading days equals or exceeds $</w:t>
      </w:r>
      <w:bookmarkStart w:id="302" w:name="xdx_90F_eus-gaap--ConversionOfStockAmoun"/>
      <w:bookmarkEnd w:id="302"/>
      <w:r>
        <w:rPr>
          <w:rFonts w:ascii="Times New Roman;Times;Serif" w:hAnsi="Times New Roman;Times;Serif"/>
          <w:b w:val="false"/>
          <w:i w:val="false"/>
          <w:caps w:val="false"/>
          <w:smallCaps w:val="false"/>
          <w:sz w:val="20"/>
        </w:rPr>
        <w:t>1.0 million, the Company may elect to convert all or any portion of the outstanding principal balance into shares of common stock at a conversion price of $</w:t>
      </w:r>
      <w:bookmarkStart w:id="303" w:name="xdx_90C_eus-gaap--DebtInstrumentConverti"/>
      <w:bookmarkEnd w:id="303"/>
      <w:r>
        <w:rPr>
          <w:rFonts w:ascii="Times New Roman;Times;Serif" w:hAnsi="Times New Roman;Times;Serif"/>
          <w:b w:val="false"/>
          <w:i w:val="false"/>
          <w:caps w:val="false"/>
          <w:smallCaps w:val="false"/>
          <w:sz w:val="20"/>
        </w:rPr>
        <w:t>0.04 per share, subject to customary adjustments for stock splits, stock dividends, combinations, recapitalizations and similar events. Any accrued and unpaid interest attributable to principal converted pursuant to the amended conversion provision is automatically forgiven upon conversion. If the Company elects to convert the entire $</w:t>
      </w:r>
      <w:bookmarkStart w:id="304" w:name="xdx_908_eus-gaap--DebtConversionConverte"/>
      <w:bookmarkEnd w:id="304"/>
      <w:r>
        <w:rPr>
          <w:rFonts w:ascii="Times New Roman;Times;Serif" w:hAnsi="Times New Roman;Times;Serif"/>
          <w:b w:val="false"/>
          <w:i w:val="false"/>
          <w:caps w:val="false"/>
          <w:smallCaps w:val="false"/>
          <w:sz w:val="20"/>
        </w:rPr>
        <w:t xml:space="preserve">3.0 million outstanding principal balance, the Convertible Promissory Notes would convert into </w:t>
      </w:r>
      <w:bookmarkStart w:id="305" w:name="xdx_907_eus-gaap--ConversionOfStockShare"/>
      <w:bookmarkEnd w:id="305"/>
      <w:r>
        <w:rPr>
          <w:rFonts w:ascii="Times New Roman;Times;Serif" w:hAnsi="Times New Roman;Times;Serif"/>
          <w:b w:val="false"/>
          <w:i w:val="false"/>
          <w:caps w:val="false"/>
          <w:smallCaps w:val="false"/>
          <w:sz w:val="20"/>
        </w:rPr>
        <w:t>75,000,000 shares of the Company’s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bookmarkStart w:id="306" w:name="xdx_23A_z3GMGdZAu9fc"/>
      <w:bookmarkEnd w:id="306"/>
      <w:r>
        <w:rPr>
          <w:caps w:val="false"/>
          <w:smallCaps w:val="false"/>
        </w:rPr>
        <w:t> </w:t>
      </w:r>
    </w:p>
    <w:p>
      <w:pPr>
        <w:pStyle w:val="TextBody"/>
        <w:bidi w:val="0"/>
        <w:spacing w:before="0" w:after="0"/>
        <w:ind w:left="0" w:right="0" w:firstLine="360"/>
        <w:jc w:val="both"/>
        <w:rPr>
          <w:caps w:val="false"/>
          <w:smallCaps w:val="false"/>
        </w:rPr>
      </w:pPr>
      <w:bookmarkStart w:id="307" w:name="xdx_237_zpALteNxajJh"/>
      <w:bookmarkEnd w:id="307"/>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caps w:val="false"/>
          <w:smallCaps w:val="false"/>
        </w:rPr>
      </w:pPr>
      <w:bookmarkStart w:id="308" w:name="xdx_237_zILsZnMntcc2"/>
      <w:bookmarkEnd w:id="308"/>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evaluated the amendment under the debt modification and extinguishment guidance in ASC 470-50. The present value of the cash flows under the amended terms differed from the present value of the remaining cash flows under the original terms by approximately </w:t>
      </w:r>
      <w:bookmarkStart w:id="309" w:name="xdx_902_eus-gaap--LongtermDebtWeightedAv"/>
      <w:bookmarkEnd w:id="309"/>
      <w:r>
        <w:rPr>
          <w:rFonts w:ascii="Times New Roman;Times;Serif" w:hAnsi="Times New Roman;Times;Serif"/>
          <w:b w:val="false"/>
          <w:i w:val="false"/>
          <w:caps w:val="false"/>
          <w:smallCaps w:val="false"/>
          <w:sz w:val="20"/>
        </w:rPr>
        <w:t xml:space="preserve">3.05%. In addition, the change in the fair value of the embedded conversion option was approximately </w:t>
      </w:r>
      <w:bookmarkStart w:id="310" w:name="xdx_901_eus-gaap--DebtConversionConverte"/>
      <w:bookmarkEnd w:id="310"/>
      <w:r>
        <w:rPr>
          <w:rFonts w:ascii="Times New Roman;Times;Serif" w:hAnsi="Times New Roman;Times;Serif"/>
          <w:b w:val="false"/>
          <w:i w:val="false"/>
          <w:caps w:val="false"/>
          <w:smallCaps w:val="false"/>
          <w:sz w:val="20"/>
        </w:rPr>
        <w:t>7.08% of the carrying amount of the Convertible Promissory Notes immediately before the amendment, and the amendment did not add or eliminate a substantive conversion option. Because the applicable changes were less than 10%, the Company accounted for the amendment as a debt modification rather than a debt extinguishment. Accordingly, the Company did not recognize a gain or loss on extinguishment.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amendment increased the fair value of the embedded conversion option by approximately $</w:t>
      </w:r>
      <w:bookmarkStart w:id="311" w:name="xdx_905_eus-gaap--DebtInstrumentConverti"/>
      <w:bookmarkEnd w:id="311"/>
      <w:r>
        <w:rPr>
          <w:rFonts w:ascii="Times New Roman;Times;Serif" w:hAnsi="Times New Roman;Times;Serif"/>
          <w:b w:val="false"/>
          <w:i w:val="false"/>
          <w:caps w:val="false"/>
          <w:smallCaps w:val="false"/>
          <w:sz w:val="20"/>
        </w:rPr>
        <w:t xml:space="preserve">232,000. The Company recorded the increase as a debt discount, with a corresponding increase to additional paid-in capital. The debt discount, together with the remaining unamortized debt issuance costs associated with the original issuance, is being amortized to interest expense over the remaining term of the amended Convertible Promissory Notes using the effective-interest method. Following the amendment, the revised effective interest rate is approximately </w:t>
      </w:r>
      <w:bookmarkStart w:id="312" w:name="xdx_90D_eus-gaap--DebtInstrumentInterest"/>
      <w:bookmarkEnd w:id="312"/>
      <w:r>
        <w:rPr>
          <w:rFonts w:ascii="Times New Roman;Times;Serif" w:hAnsi="Times New Roman;Times;Serif"/>
          <w:b w:val="false"/>
          <w:i w:val="false"/>
          <w:caps w:val="false"/>
          <w:smallCaps w:val="false"/>
          <w:sz w:val="20"/>
        </w:rPr>
        <w:t>17.70%.</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Convertible Promissory Notes may not be prepaid before the maturity date without the written consent of the applicable holder and are secured pursuant to a security agreement entered into concurrently with their original issuance.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occurrence of an event of default and written notice from the applicable holder, or automatically upon the occurrence of certain bankruptcy-related events, the Convertible Promissory Notes become immediately due and payable, together with all accrued and unpaid interest. Events of default include, among other matters, (i) failure to pay principal or interest when due, (ii) breaches of covenants contained in the Convertible Promissory Notes or the securities purchase agreement, (iii) specified bankruptcy or insolvency events and (iv) defaults under other indebtedness exceeding $200,000.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original issuance of the Convertible Promissory Notes, the Company incurred debt issuance costs of approximately $</w:t>
      </w:r>
      <w:bookmarkStart w:id="313" w:name="xdx_90F_eus-gaap--DeferredFinanceCostsNe"/>
      <w:bookmarkEnd w:id="313"/>
      <w:r>
        <w:rPr>
          <w:rFonts w:ascii="Times New Roman;Times;Serif" w:hAnsi="Times New Roman;Times;Serif"/>
          <w:b w:val="false"/>
          <w:i w:val="false"/>
          <w:caps w:val="false"/>
          <w:smallCaps w:val="false"/>
          <w:sz w:val="20"/>
        </w:rPr>
        <w:t xml:space="preserve">75,000. The debt issuance costs were recorded as a direct deduction from the carrying amount of the Convertible Promissory Notes. Before the June 2026 amendment, the debt issuance costs were amortized using an original effective interest rate of approximately </w:t>
      </w:r>
      <w:bookmarkStart w:id="314" w:name="xdx_907_eus-gaap--DebtConversionOriginal"/>
      <w:bookmarkEnd w:id="314"/>
      <w:r>
        <w:rPr>
          <w:rFonts w:ascii="Times New Roman;Times;Serif" w:hAnsi="Times New Roman;Times;Serif"/>
          <w:b w:val="false"/>
          <w:i w:val="false"/>
          <w:caps w:val="false"/>
          <w:smallCaps w:val="false"/>
          <w:sz w:val="20"/>
        </w:rPr>
        <w:t>12.64%. Following the amendment, the remaining unamortized debt issuance costs are being amortized over the amended remaining term using the revised effective interest rate.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the Convertible Promissory Notes at amortized cost. At issuance, no portion of the proceeds was allocated to the embedded conversion features because the conversion features did not require bifurcation and separate accounting as derivative instruments under ASC 815. The fair value of the Warrants issued in connection with the Convertible Promissory Notes was not material.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December 31, 2025, the carrying amount of the Convertible Promissory Notes and related accrued interest was approximately $</w:t>
      </w:r>
      <w:bookmarkStart w:id="315" w:name="xdx_908_eus-gaap--DebtInstrumentIncrease"/>
      <w:bookmarkEnd w:id="315"/>
      <w:r>
        <w:rPr>
          <w:rFonts w:ascii="Times New Roman;Times;Serif" w:hAnsi="Times New Roman;Times;Serif"/>
          <w:b w:val="false"/>
          <w:i w:val="false"/>
          <w:caps w:val="false"/>
          <w:smallCaps w:val="false"/>
          <w:sz w:val="20"/>
        </w:rPr>
        <w:t>3.1 million, net of a valuation discount of $</w:t>
      </w:r>
      <w:bookmarkStart w:id="316" w:name="xdx_902_eus-gaap--DebtInstrumentCarrying"/>
      <w:bookmarkEnd w:id="316"/>
      <w:r>
        <w:rPr>
          <w:rFonts w:ascii="Times New Roman;Times;Serif" w:hAnsi="Times New Roman;Times;Serif"/>
          <w:b w:val="false"/>
          <w:i w:val="false"/>
          <w:caps w:val="false"/>
          <w:smallCaps w:val="false"/>
          <w:sz w:val="20"/>
        </w:rPr>
        <w:t>33. At June 30, 2026, the aggregate outstanding principal and accrued interest was approximately $</w:t>
      </w:r>
      <w:bookmarkStart w:id="317" w:name="xdx_90F_eus-gaap--DebtInstrumentIncrease"/>
      <w:bookmarkStart w:id="318" w:name="xdx_90D_eus-gaap--DebtInstrumentFaceAmou"/>
      <w:bookmarkEnd w:id="317"/>
      <w:bookmarkEnd w:id="318"/>
      <w:r>
        <w:rPr>
          <w:rFonts w:ascii="Times New Roman;Times;Serif" w:hAnsi="Times New Roman;Times;Serif"/>
          <w:b w:val="false"/>
          <w:i w:val="false"/>
          <w:caps w:val="false"/>
          <w:smallCaps w:val="false"/>
          <w:sz w:val="20"/>
        </w:rPr>
        <w:t>3.1 million, net of the unamortized debt discount of $</w:t>
      </w:r>
      <w:bookmarkStart w:id="319" w:name="xdx_900_eus-gaap--DebtInstrumentUnamorti"/>
      <w:bookmarkEnd w:id="319"/>
      <w:r>
        <w:rPr>
          <w:rFonts w:ascii="Times New Roman;Times;Serif" w:hAnsi="Times New Roman;Times;Serif"/>
          <w:b w:val="false"/>
          <w:i w:val="false"/>
          <w:caps w:val="false"/>
          <w:smallCaps w:val="false"/>
          <w:sz w:val="20"/>
        </w:rPr>
        <w:t>211 recognized in connection with the amendment and the remaining unamortized debt issuance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six months ended June 30, 2026, the Company recognized approximately $</w:t>
      </w:r>
      <w:bookmarkStart w:id="320" w:name="xdx_905_eus-gaap--InterestExpense_pn3n3_"/>
      <w:bookmarkEnd w:id="320"/>
      <w:r>
        <w:rPr>
          <w:rFonts w:ascii="Times New Roman;Times;Serif" w:hAnsi="Times New Roman;Times;Serif"/>
          <w:b w:val="false"/>
          <w:i w:val="false"/>
          <w:caps w:val="false"/>
          <w:smallCaps w:val="false"/>
          <w:sz w:val="20"/>
        </w:rPr>
        <w:t>203 of interest expense, including contractual interest, approximately $</w:t>
      </w:r>
      <w:bookmarkStart w:id="321" w:name="xdx_903_eus-gaap--AmortizationOfFinancin"/>
      <w:bookmarkEnd w:id="321"/>
      <w:r>
        <w:rPr>
          <w:rFonts w:ascii="Times New Roman;Times;Serif" w:hAnsi="Times New Roman;Times;Serif"/>
          <w:b w:val="false"/>
          <w:i w:val="false"/>
          <w:caps w:val="false"/>
          <w:smallCaps w:val="false"/>
          <w:sz w:val="20"/>
        </w:rPr>
        <w:t>33 of amortization of the original debt issuance costs and approximately $</w:t>
      </w:r>
      <w:bookmarkStart w:id="322" w:name="xdx_90D_eus-gaap--AmortizationOfDebtDisc"/>
      <w:bookmarkEnd w:id="322"/>
      <w:r>
        <w:rPr>
          <w:rFonts w:ascii="Times New Roman;Times;Serif" w:hAnsi="Times New Roman;Times;Serif"/>
          <w:b w:val="false"/>
          <w:i w:val="false"/>
          <w:caps w:val="false"/>
          <w:smallCaps w:val="false"/>
          <w:sz w:val="20"/>
        </w:rPr>
        <w:t>19 of amortization of the debt discount recognized in connection with the June 2026 amendment. Interest expense is included within interest expense in the condensed consolidated statements of operations and comprehensive loss.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bookmarkStart w:id="323" w:name="xdx_236_zfN4ByrU59T1"/>
      <w:bookmarkEnd w:id="323"/>
      <w:r>
        <w:rPr>
          <w:caps w:val="false"/>
          <w:smallCaps w:val="false"/>
        </w:rPr>
        <w:t> </w:t>
      </w:r>
    </w:p>
    <w:p>
      <w:pPr>
        <w:pStyle w:val="TextBody"/>
        <w:bidi w:val="0"/>
        <w:spacing w:before="0" w:after="0"/>
        <w:ind w:left="0" w:right="0" w:firstLine="360"/>
        <w:jc w:val="both"/>
        <w:rPr>
          <w:caps w:val="false"/>
          <w:smallCaps w:val="false"/>
        </w:rPr>
      </w:pPr>
      <w:bookmarkStart w:id="324" w:name="xdx_231_z84ki1pQlz7f"/>
      <w:bookmarkEnd w:id="324"/>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caps w:val="false"/>
          <w:smallCaps w:val="false"/>
        </w:rPr>
      </w:pPr>
      <w:bookmarkStart w:id="325" w:name="xdx_23F_zete3q8yJRz4"/>
      <w:bookmarkEnd w:id="325"/>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26" w:name="xdx_80B_eus-gaap--CommitmentsAndContinge"/>
      <w:bookmarkEnd w:id="326"/>
      <w:r>
        <w:rPr>
          <w:rFonts w:ascii="Times New Roman;Times;Serif" w:hAnsi="Times New Roman;Times;Serif"/>
          <w:b/>
          <w:i w:val="false"/>
          <w:caps w:val="false"/>
          <w:smallCaps w:val="false"/>
          <w:sz w:val="20"/>
        </w:rPr>
        <w:t xml:space="preserve">5. </w:t>
      </w:r>
      <w:bookmarkStart w:id="327" w:name="xdx_821_zhlLdugMmJqc"/>
      <w:bookmarkEnd w:id="327"/>
      <w:r>
        <w:rPr>
          <w:rFonts w:ascii="Times New Roman;Times;Serif" w:hAnsi="Times New Roman;Times;Serif"/>
          <w:b/>
          <w:i w:val="false"/>
          <w:caps w:val="false"/>
          <w:smallCaps w:val="false"/>
          <w:sz w:val="20"/>
        </w:rPr>
        <w:t>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Forbearance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entered into forbearance agreements (the “Forbearance Agreement”) with two third-party creditors related to outstanding invoices totaling approximately $</w:t>
      </w:r>
      <w:bookmarkStart w:id="328" w:name="xdx_904_eus-gaap--AccountsPayableCurrent"/>
      <w:bookmarkEnd w:id="328"/>
      <w:r>
        <w:rPr>
          <w:rFonts w:ascii="Times New Roman;Times;Serif" w:hAnsi="Times New Roman;Times;Serif"/>
          <w:b w:val="false"/>
          <w:i w:val="false"/>
          <w:caps w:val="false"/>
          <w:smallCaps w:val="false"/>
          <w:sz w:val="20"/>
        </w:rPr>
        <w:t xml:space="preserve">3,774 (the “Overdue Amount”). Pursuant to the Forbearance Agreement, </w:t>
      </w:r>
      <w:bookmarkStart w:id="329" w:name="xdx_90C_ecustom--DebtRestructuringPercen"/>
      <w:bookmarkEnd w:id="329"/>
      <w:r>
        <w:rPr>
          <w:rFonts w:ascii="Times New Roman;Times;Serif" w:hAnsi="Times New Roman;Times;Serif"/>
          <w:b w:val="false"/>
          <w:i w:val="false"/>
          <w:caps w:val="false"/>
          <w:smallCaps w:val="false"/>
          <w:sz w:val="20"/>
        </w:rPr>
        <w:t>50% of the Overdue Amount (approximately $</w:t>
      </w:r>
      <w:bookmarkStart w:id="330" w:name="xdx_900_eus-gaap--AccountsPayableCurrent"/>
      <w:bookmarkEnd w:id="330"/>
      <w:r>
        <w:rPr>
          <w:rFonts w:ascii="Times New Roman;Times;Serif" w:hAnsi="Times New Roman;Times;Serif"/>
          <w:b w:val="false"/>
          <w:i w:val="false"/>
          <w:caps w:val="false"/>
          <w:smallCaps w:val="false"/>
          <w:sz w:val="20"/>
        </w:rPr>
        <w:t>1,887), remains due and is included in accounts payable, and the remaining $</w:t>
      </w:r>
      <w:bookmarkStart w:id="331" w:name="xdx_902_eus-gaap--TroubledDebtRestructur"/>
      <w:bookmarkEnd w:id="331"/>
      <w:r>
        <w:rPr>
          <w:rFonts w:ascii="Times New Roman;Times;Serif" w:hAnsi="Times New Roman;Times;Serif"/>
          <w:b w:val="false"/>
          <w:i w:val="false"/>
          <w:caps w:val="false"/>
          <w:smallCaps w:val="false"/>
          <w:sz w:val="20"/>
        </w:rPr>
        <w:t>1,887 becomes contingently payable based upon the completion of capital-raising transactions generating at least $</w:t>
      </w:r>
      <w:bookmarkStart w:id="332" w:name="xdx_904_ecustom--DebtInstrumentThreshold"/>
      <w:bookmarkEnd w:id="332"/>
      <w:r>
        <w:rPr>
          <w:rFonts w:ascii="Times New Roman;Times;Serif" w:hAnsi="Times New Roman;Times;Serif"/>
          <w:b w:val="false"/>
          <w:i w:val="false"/>
          <w:caps w:val="false"/>
          <w:smallCaps w:val="false"/>
          <w:sz w:val="20"/>
        </w:rPr>
        <w:t>45,000 and $</w:t>
      </w:r>
      <w:bookmarkStart w:id="333" w:name="xdx_90D_ecustom--DebtInstrumentThreshold"/>
      <w:bookmarkEnd w:id="333"/>
      <w:r>
        <w:rPr>
          <w:rFonts w:ascii="Times New Roman;Times;Serif" w:hAnsi="Times New Roman;Times;Serif"/>
          <w:b w:val="false"/>
          <w:i w:val="false"/>
          <w:caps w:val="false"/>
          <w:smallCaps w:val="false"/>
          <w:sz w:val="20"/>
        </w:rPr>
        <w:t>55,000, respectively, in aggregate proceeds. If the specified financing thresholds are not achieved, the corresponding contingent payments will not become due, and the related obligations will be permanently extinguished.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Forbearance Agreement, the creditors have each agreed to temporarily forbear from enforcing collection of the $</w:t>
      </w:r>
      <w:bookmarkStart w:id="334" w:name="xdx_90D_eus-gaap--AccountsPayableCurrent"/>
      <w:bookmarkEnd w:id="334"/>
      <w:r>
        <w:rPr>
          <w:rFonts w:ascii="Times New Roman;Times;Serif" w:hAnsi="Times New Roman;Times;Serif"/>
          <w:b w:val="false"/>
          <w:i w:val="false"/>
          <w:caps w:val="false"/>
          <w:smallCaps w:val="false"/>
          <w:sz w:val="20"/>
        </w:rPr>
        <w:t>1,887 that is currently recorded in accounts payable during the forbearance period, and, in either case, if the specified financing thresholds are not achieved, the corresponding contingent payments will not become due, and the related obligations will be permanently extinguished.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December 31, 2025, the Company accounted for the $</w:t>
      </w:r>
      <w:bookmarkStart w:id="335" w:name="xdx_90B_eus-gaap--ExtinguishmentOfDebtAm"/>
      <w:bookmarkEnd w:id="335"/>
      <w:r>
        <w:rPr>
          <w:rFonts w:ascii="Times New Roman;Times;Serif" w:hAnsi="Times New Roman;Times;Serif"/>
          <w:b w:val="false"/>
          <w:i w:val="false"/>
          <w:caps w:val="false"/>
          <w:smallCaps w:val="false"/>
          <w:sz w:val="20"/>
        </w:rPr>
        <w:t>1,887 Overdue Amount that is now contingently payable as an extinguishment of debt due to management’s assessment that it is not probable that the Company will reach the equity raising threshold that would require repayment of these amounts.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Beginning May 1, 2025, any unpaid portion of the Obligations will accrue a late charge at a rate equal to the lesser of </w:t>
      </w:r>
      <w:bookmarkStart w:id="336" w:name="xdx_900_ecustom--DebtInstrumentMonthlyLa"/>
      <w:bookmarkEnd w:id="336"/>
      <w:r>
        <w:rPr>
          <w:rFonts w:ascii="Times New Roman;Times;Serif" w:hAnsi="Times New Roman;Times;Serif"/>
          <w:b w:val="false"/>
          <w:i w:val="false"/>
          <w:caps w:val="false"/>
          <w:smallCaps w:val="false"/>
          <w:sz w:val="20"/>
        </w:rPr>
        <w:t>0.8% per month or the maximum rate permitted by law. The forbearance period will terminate—and the Remaining Overdue Amount, together with any accrued late charges, will become immediately due and payable—upon the occurrence of certain “Forbearance Termination Events,” including specified capital-raising or asset-sale transactions, defaults, or insolvency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37" w:name="xdx_80F_eus-gaap--PreferredStockTextBloc"/>
      <w:bookmarkEnd w:id="337"/>
      <w:r>
        <w:rPr>
          <w:rFonts w:ascii="Times New Roman;Times;Serif" w:hAnsi="Times New Roman;Times;Serif"/>
          <w:b/>
          <w:i w:val="false"/>
          <w:caps w:val="false"/>
          <w:smallCaps w:val="false"/>
          <w:sz w:val="20"/>
        </w:rPr>
        <w:t xml:space="preserve">6. </w:t>
      </w:r>
      <w:bookmarkStart w:id="338" w:name="xdx_82A_zbtZ2gkCqAj7"/>
      <w:bookmarkEnd w:id="338"/>
      <w:r>
        <w:rPr>
          <w:rFonts w:ascii="Times New Roman;Times;Serif" w:hAnsi="Times New Roman;Times;Serif"/>
          <w:b/>
          <w:i w:val="false"/>
          <w:caps w:val="false"/>
          <w:smallCaps w:val="false"/>
          <w:sz w:val="20"/>
        </w:rPr>
        <w:t>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A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authorized, issued, and outstanding Series A Convertible Preferred Stock and their principal were as follows:</w:t>
      </w:r>
    </w:p>
    <w:p>
      <w:pPr>
        <w:pStyle w:val="Normal"/>
        <w:bidi w:val="0"/>
        <w:spacing w:before="0" w:after="0"/>
        <w:jc w:val="left"/>
        <w:rPr>
          <w:sz w:val="4"/>
          <w:szCs w:val="4"/>
        </w:rPr>
      </w:pPr>
      <w:r>
        <w:rPr>
          <w:sz w:val="4"/>
          <w:szCs w:val="4"/>
        </w:rPr>
      </w:r>
      <w:bookmarkStart w:id="339" w:name="xdx_894_eus-gaap--ScheduleOfStockByClass"/>
      <w:bookmarkStart w:id="340" w:name="xdx_894_eus-gaap--ScheduleOfStockByClass"/>
      <w:bookmarkEnd w:id="340"/>
    </w:p>
    <w:tbl>
      <w:tblPr>
        <w:tblW w:w="10205" w:type="dxa"/>
        <w:jc w:val="left"/>
        <w:tblInd w:w="0" w:type="dxa"/>
        <w:tblLayout w:type="fixed"/>
        <w:tblCellMar>
          <w:top w:w="0" w:type="dxa"/>
          <w:left w:w="0" w:type="dxa"/>
          <w:bottom w:w="0" w:type="dxa"/>
          <w:right w:w="0" w:type="dxa"/>
        </w:tblCellMar>
      </w:tblPr>
      <w:tblGrid>
        <w:gridCol w:w="2314"/>
        <w:gridCol w:w="60"/>
        <w:gridCol w:w="68"/>
        <w:gridCol w:w="783"/>
        <w:gridCol w:w="60"/>
        <w:gridCol w:w="60"/>
        <w:gridCol w:w="86"/>
        <w:gridCol w:w="1089"/>
        <w:gridCol w:w="95"/>
        <w:gridCol w:w="60"/>
        <w:gridCol w:w="105"/>
        <w:gridCol w:w="1334"/>
        <w:gridCol w:w="95"/>
        <w:gridCol w:w="60"/>
        <w:gridCol w:w="174"/>
        <w:gridCol w:w="791"/>
        <w:gridCol w:w="95"/>
        <w:gridCol w:w="60"/>
        <w:gridCol w:w="610"/>
        <w:gridCol w:w="610"/>
        <w:gridCol w:w="60"/>
        <w:gridCol w:w="60"/>
        <w:gridCol w:w="66"/>
        <w:gridCol w:w="1296"/>
        <w:gridCol w:w="114"/>
      </w:tblGrid>
      <w:tr>
        <w:trPr/>
        <w:tc>
          <w:tcPr>
            <w:tcW w:w="2314" w:type="dxa"/>
            <w:tcBorders/>
            <w:vAlign w:val="center"/>
          </w:tcPr>
          <w:p>
            <w:pPr>
              <w:pStyle w:val="TableContents"/>
              <w:bidi w:val="0"/>
              <w:spacing w:before="0" w:after="283"/>
              <w:jc w:val="left"/>
              <w:rPr/>
            </w:pPr>
            <w:bookmarkStart w:id="341" w:name="xdx_8B0_zTTPQgtsm508"/>
            <w:bookmarkEnd w:id="341"/>
            <w:r>
              <w:rPr/>
              <w:t>Schedule of Series a convertible preferred stock</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83"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089"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1334"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4"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left"/>
              <w:rPr/>
            </w:pPr>
            <w:r>
              <w:rPr/>
              <w:t> </w:t>
            </w:r>
          </w:p>
        </w:tc>
        <w:tc>
          <w:tcPr>
            <w:tcW w:w="61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296" w:type="dxa"/>
            <w:tcBorders/>
            <w:vAlign w:val="center"/>
          </w:tcPr>
          <w:p>
            <w:pPr>
              <w:pStyle w:val="TableContents"/>
              <w:bidi w:val="0"/>
              <w:spacing w:before="0" w:after="283"/>
              <w:jc w:val="right"/>
              <w:rPr/>
            </w:pPr>
            <w:r>
              <w:rPr/>
              <w:t> </w:t>
            </w:r>
          </w:p>
        </w:tc>
        <w:tc>
          <w:tcPr>
            <w:tcW w:w="114" w:type="dxa"/>
            <w:tcBorders/>
            <w:vAlign w:val="center"/>
          </w:tcPr>
          <w:p>
            <w:pPr>
              <w:pStyle w:val="TableContents"/>
              <w:bidi w:val="0"/>
              <w:spacing w:before="0" w:after="283"/>
              <w:jc w:val="left"/>
              <w:rPr/>
            </w:pPr>
            <w:r>
              <w:rPr/>
              <w:t> </w:t>
            </w:r>
          </w:p>
        </w:tc>
      </w:tr>
      <w:tr>
        <w:trPr/>
        <w:tc>
          <w:tcPr>
            <w:tcW w:w="231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51"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46"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Series A Convertible Preferred Stock</w:t>
            </w:r>
          </w:p>
        </w:tc>
        <w:tc>
          <w:tcPr>
            <w:tcW w:w="114" w:type="dxa"/>
            <w:tcBorders/>
            <w:vAlign w:val="center"/>
          </w:tcPr>
          <w:p>
            <w:pPr>
              <w:pStyle w:val="TableContents"/>
              <w:bidi w:val="0"/>
              <w:spacing w:before="0" w:after="283"/>
              <w:jc w:val="left"/>
              <w:rPr/>
            </w:pPr>
            <w:r>
              <w:rPr/>
              <w:t> </w:t>
            </w:r>
          </w:p>
        </w:tc>
      </w:tr>
      <w:tr>
        <w:trPr/>
        <w:tc>
          <w:tcPr>
            <w:tcW w:w="231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Authorized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Issued</w:t>
              <w:br/>
              <w:t>and Outstanding</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Carrying</w:t>
              <w:br/>
              <w:t>Value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Liquidation</w:t>
              <w:br/>
              <w:t>Preference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Common Stock</w:t>
              <w:br/>
              <w:t>Issuable Upon</w:t>
              <w:br/>
              <w:t>Conversion</w:t>
            </w:r>
          </w:p>
        </w:tc>
        <w:tc>
          <w:tcPr>
            <w:tcW w:w="114" w:type="dxa"/>
            <w:tcBorders/>
            <w:vAlign w:val="center"/>
          </w:tcPr>
          <w:p>
            <w:pPr>
              <w:pStyle w:val="TableContents"/>
              <w:bidi w:val="0"/>
              <w:spacing w:before="0" w:after="283"/>
              <w:jc w:val="left"/>
              <w:rPr/>
            </w:pPr>
            <w:r>
              <w:rPr/>
              <w:t> </w:t>
            </w:r>
          </w:p>
        </w:tc>
      </w:tr>
      <w:tr>
        <w:trPr/>
        <w:tc>
          <w:tcPr>
            <w:tcW w:w="2314"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783" w:type="dxa"/>
            <w:tcBorders/>
            <w:shd w:fill="CCEEFF" w:val="clear"/>
            <w:vAlign w:val="center"/>
          </w:tcPr>
          <w:p>
            <w:pPr>
              <w:pStyle w:val="TableContents"/>
              <w:bidi w:val="0"/>
              <w:spacing w:before="0" w:after="283"/>
              <w:jc w:val="right"/>
              <w:rPr/>
            </w:pPr>
            <w:bookmarkStart w:id="342" w:name="xdx_90B_eus-gaap--PreferredStockParOrSta"/>
            <w:bookmarkEnd w:id="342"/>
            <w:r>
              <w:rPr/>
              <w:t>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089" w:type="dxa"/>
            <w:tcBorders/>
            <w:shd w:fill="CCEEFF" w:val="clear"/>
            <w:vAlign w:val="center"/>
          </w:tcPr>
          <w:p>
            <w:pPr>
              <w:pStyle w:val="TableContents"/>
              <w:bidi w:val="0"/>
              <w:spacing w:before="0" w:after="283"/>
              <w:jc w:val="right"/>
              <w:rPr/>
            </w:pPr>
            <w:bookmarkStart w:id="343" w:name="xdx_905_eus-gaap--PreferredStockSharesAu"/>
            <w:bookmarkEnd w:id="343"/>
            <w:r>
              <w:rPr/>
              <w:t>15,000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1334" w:type="dxa"/>
            <w:tcBorders/>
            <w:shd w:fill="CCEEFF" w:val="clear"/>
            <w:vAlign w:val="center"/>
          </w:tcPr>
          <w:p>
            <w:pPr>
              <w:pStyle w:val="TableContents"/>
              <w:bidi w:val="0"/>
              <w:spacing w:before="0" w:after="283"/>
              <w:jc w:val="right"/>
              <w:rPr/>
            </w:pPr>
            <w:bookmarkStart w:id="344" w:name="xdx_90B_eus-gaap--PreferredStockSharesOu"/>
            <w:bookmarkStart w:id="345" w:name="xdx_90B_eus-gaap--PreferredStockSharesIs"/>
            <w:bookmarkEnd w:id="344"/>
            <w:bookmarkEnd w:id="345"/>
            <w:r>
              <w:rPr/>
              <w:t>15,000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bookmarkStart w:id="346" w:name="xdx_98F_ecustom--PreferredStockCarryingV"/>
            <w:bookmarkEnd w:id="346"/>
          </w:p>
        </w:tc>
        <w:tc>
          <w:tcPr>
            <w:tcW w:w="791" w:type="dxa"/>
            <w:tcBorders/>
            <w:shd w:fill="CCEEFF" w:val="clear"/>
            <w:vAlign w:val="center"/>
          </w:tcPr>
          <w:p>
            <w:pPr>
              <w:pStyle w:val="TableContents"/>
              <w:bidi w:val="0"/>
              <w:spacing w:before="0" w:after="283"/>
              <w:jc w:val="right"/>
              <w:rPr/>
            </w:pPr>
            <w:r>
              <w:rPr/>
              <w:t>1,500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w:t>
            </w:r>
            <w:bookmarkStart w:id="347" w:name="xdx_98D_eus-gaap--PreferredStockLiquidat"/>
            <w:bookmarkEnd w:id="347"/>
          </w:p>
        </w:tc>
        <w:tc>
          <w:tcPr>
            <w:tcW w:w="6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bookmarkStart w:id="348" w:name="xdx_985_eus-gaap--ConvertiblePreferredSt"/>
            <w:bookmarkEnd w:id="348"/>
          </w:p>
        </w:tc>
        <w:tc>
          <w:tcPr>
            <w:tcW w:w="1296" w:type="dxa"/>
            <w:tcBorders/>
            <w:shd w:fill="CCEEFF" w:val="clear"/>
            <w:vAlign w:val="center"/>
          </w:tcPr>
          <w:p>
            <w:pPr>
              <w:pStyle w:val="TableContents"/>
              <w:bidi w:val="0"/>
              <w:spacing w:before="0" w:after="283"/>
              <w:jc w:val="right"/>
              <w:rPr/>
            </w:pPr>
            <w:r>
              <w:rPr/>
              <w:t>15,000,000</w:t>
            </w:r>
          </w:p>
        </w:tc>
        <w:tc>
          <w:tcPr>
            <w:tcW w:w="114" w:type="dxa"/>
            <w:tcBorders/>
            <w:shd w:fill="CCEEFF" w:val="clear"/>
            <w:vAlign w:val="center"/>
          </w:tcPr>
          <w:p>
            <w:pPr>
              <w:pStyle w:val="TableContents"/>
              <w:bidi w:val="0"/>
              <w:spacing w:before="0" w:after="283"/>
              <w:jc w:val="left"/>
              <w:rPr/>
            </w:pPr>
            <w:r>
              <w:rPr/>
              <w:t> </w:t>
            </w:r>
          </w:p>
        </w:tc>
      </w:tr>
      <w:tr>
        <w:trPr/>
        <w:tc>
          <w:tcPr>
            <w:tcW w:w="2314" w:type="dxa"/>
            <w:tcBorders/>
            <w:shd w:fill="FFFFFF" w:val="clear"/>
            <w:vAlign w:val="center"/>
          </w:tcPr>
          <w:p>
            <w:pPr>
              <w:pStyle w:val="TableContents"/>
              <w:bidi w:val="0"/>
              <w:spacing w:before="0" w:after="283"/>
              <w:jc w:val="left"/>
              <w:rPr/>
            </w:pPr>
            <w:r>
              <w:rPr/>
              <w:t>Issued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783" w:type="dxa"/>
            <w:tcBorders/>
            <w:shd w:fill="FFFFFF" w:val="clear"/>
            <w:vAlign w:val="center"/>
          </w:tcPr>
          <w:p>
            <w:pPr>
              <w:pStyle w:val="TableContents"/>
              <w:bidi w:val="0"/>
              <w:spacing w:before="0" w:after="283"/>
              <w:jc w:val="right"/>
              <w:rPr/>
            </w:pPr>
            <w:bookmarkStart w:id="349" w:name="xdx_907_eus-gaap--PreferredStockParOrSta"/>
            <w:bookmarkEnd w:id="349"/>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089" w:type="dxa"/>
            <w:tcBorders/>
            <w:shd w:fill="FFFFFF" w:val="clear"/>
            <w:vAlign w:val="center"/>
          </w:tcPr>
          <w:p>
            <w:pPr>
              <w:pStyle w:val="TableContents"/>
              <w:bidi w:val="0"/>
              <w:spacing w:before="0" w:after="283"/>
              <w:jc w:val="right"/>
              <w:rPr/>
            </w:pPr>
            <w:bookmarkStart w:id="350" w:name="xdx_901_eus-gaap--PreferredStockSharesAu"/>
            <w:bookmarkEnd w:id="350"/>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shd w:fill="FFFFFF" w:val="clear"/>
            <w:vAlign w:val="center"/>
          </w:tcPr>
          <w:p>
            <w:pPr>
              <w:pStyle w:val="TableContents"/>
              <w:bidi w:val="0"/>
              <w:spacing w:before="0" w:after="283"/>
              <w:jc w:val="left"/>
              <w:rPr/>
            </w:pPr>
            <w:r>
              <w:rPr/>
              <w:t> </w:t>
            </w:r>
          </w:p>
        </w:tc>
        <w:tc>
          <w:tcPr>
            <w:tcW w:w="1334" w:type="dxa"/>
            <w:tcBorders/>
            <w:shd w:fill="FFFFFF" w:val="clear"/>
            <w:vAlign w:val="center"/>
          </w:tcPr>
          <w:p>
            <w:pPr>
              <w:pStyle w:val="TableContents"/>
              <w:bidi w:val="0"/>
              <w:spacing w:before="0" w:after="283"/>
              <w:jc w:val="right"/>
              <w:rPr/>
            </w:pPr>
            <w:bookmarkStart w:id="351" w:name="xdx_90B_eus-gaap--PreferredStockSharesIs"/>
            <w:bookmarkStart w:id="352" w:name="xdx_90B_eus-gaap--PreferredStockSharesOu"/>
            <w:bookmarkEnd w:id="351"/>
            <w:bookmarkEnd w:id="352"/>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bookmarkStart w:id="353" w:name="xdx_985_eus-gaap--PreferredStockValue_iI"/>
            <w:bookmarkEnd w:id="353"/>
          </w:p>
        </w:tc>
        <w:tc>
          <w:tcPr>
            <w:tcW w:w="79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pPr>
            <w:r>
              <w:rPr/>
              <w:t> </w:t>
            </w:r>
            <w:bookmarkStart w:id="354" w:name="xdx_983_eus-gaap--PreferredStockLiquidat"/>
            <w:bookmarkEnd w:id="354"/>
          </w:p>
        </w:tc>
        <w:tc>
          <w:tcPr>
            <w:tcW w:w="6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bookmarkStart w:id="355" w:name="xdx_982_eus-gaap--ConvertiblePreferredSt"/>
            <w:bookmarkEnd w:id="355"/>
          </w:p>
        </w:tc>
        <w:tc>
          <w:tcPr>
            <w:tcW w:w="1296" w:type="dxa"/>
            <w:tcBorders/>
            <w:shd w:fill="FFFFFF" w:val="cle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r>
        <w:trPr/>
        <w:tc>
          <w:tcPr>
            <w:tcW w:w="2314" w:type="dxa"/>
            <w:tcBorders/>
            <w:shd w:fill="CCEEFF" w:val="clear"/>
            <w:vAlign w:val="center"/>
          </w:tcPr>
          <w:p>
            <w:pPr>
              <w:pStyle w:val="TableContents"/>
              <w:bidi w:val="0"/>
              <w:spacing w:before="0" w:after="283"/>
              <w:jc w:val="left"/>
              <w:rPr/>
            </w:pPr>
            <w:r>
              <w:rPr/>
              <w:t>Converted to common stock</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3"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356" w:name="xdx_902_eus-gaap--PreferredStockParOrSta"/>
            <w:bookmarkEnd w:id="356"/>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9"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357" w:name="xdx_908_eus-gaap--PreferredStockSharesAu"/>
            <w:bookmarkEnd w:id="357"/>
            <w:r>
              <w:rPr/>
              <w:t>(15,000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0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4"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358" w:name="xdx_90A_eus-gaap--PreferredStockSharesOu"/>
            <w:bookmarkStart w:id="359" w:name="xdx_907_eus-gaap--PreferredStockSharesIs"/>
            <w:bookmarkEnd w:id="358"/>
            <w:bookmarkEnd w:id="359"/>
            <w:r>
              <w:rPr/>
              <w:t>(15,000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60" w:name="xdx_98F_eus-gaap--PreferredStockValue_iI"/>
            <w:bookmarkEnd w:id="360"/>
          </w:p>
        </w:tc>
        <w:tc>
          <w:tcPr>
            <w:tcW w:w="791" w:type="dxa"/>
            <w:tcBorders>
              <w:bottom w:val="single" w:sz="8" w:space="0" w:color="000000"/>
            </w:tcBorders>
            <w:shd w:fill="CCEEFF" w:val="clear"/>
            <w:tcMar>
              <w:bottom w:w="28" w:type="dxa"/>
            </w:tcMar>
            <w:vAlign w:val="center"/>
          </w:tcPr>
          <w:p>
            <w:pPr>
              <w:pStyle w:val="TableContents"/>
              <w:bidi w:val="0"/>
              <w:spacing w:before="0" w:after="283"/>
              <w:jc w:val="right"/>
              <w:rPr/>
            </w:pPr>
            <w:r>
              <w:rPr/>
              <w:t>(1,500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61" w:name="xdx_98F_eus-gaap--PreferredStockLiquidat"/>
            <w:bookmarkEnd w:id="361"/>
          </w:p>
        </w:tc>
        <w:tc>
          <w:tcPr>
            <w:tcW w:w="6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62" w:name="xdx_98E_eus-gaap--ConvertiblePreferredSt"/>
            <w:bookmarkEnd w:id="362"/>
          </w:p>
        </w:tc>
        <w:tc>
          <w:tcPr>
            <w:tcW w:w="1296" w:type="dxa"/>
            <w:tcBorders>
              <w:bottom w:val="single" w:sz="8" w:space="0" w:color="000000"/>
            </w:tcBorders>
            <w:shd w:fill="CCEEFF" w:val="clear"/>
            <w:tcMar>
              <w:bottom w:w="28" w:type="dxa"/>
            </w:tcMar>
            <w:vAlign w:val="center"/>
          </w:tcPr>
          <w:p>
            <w:pPr>
              <w:pStyle w:val="TableContents"/>
              <w:bidi w:val="0"/>
              <w:spacing w:before="0" w:after="283"/>
              <w:jc w:val="right"/>
              <w:rPr/>
            </w:pPr>
            <w:r>
              <w:rPr/>
              <w:t>(15,000,000</w:t>
            </w:r>
          </w:p>
        </w:tc>
        <w:tc>
          <w:tcPr>
            <w:tcW w:w="114" w:type="dxa"/>
            <w:tcBorders/>
            <w:shd w:fill="CCEEFF" w:val="clear"/>
            <w:vAlign w:val="center"/>
          </w:tcPr>
          <w:p>
            <w:pPr>
              <w:pStyle w:val="TableContents"/>
              <w:bidi w:val="0"/>
              <w:spacing w:before="0" w:after="283"/>
              <w:jc w:val="left"/>
              <w:rPr/>
            </w:pPr>
            <w:r>
              <w:rPr/>
              <w:t>)</w:t>
            </w:r>
          </w:p>
        </w:tc>
      </w:tr>
      <w:tr>
        <w:trPr/>
        <w:tc>
          <w:tcPr>
            <w:tcW w:w="2314" w:type="dxa"/>
            <w:tcBorders/>
            <w:shd w:fill="FFFFFF" w:val="clear"/>
            <w:vAlign w:val="center"/>
          </w:tcPr>
          <w:p>
            <w:pPr>
              <w:pStyle w:val="TableContents"/>
              <w:bidi w:val="0"/>
              <w:spacing w:before="0" w:after="283"/>
              <w:jc w:val="left"/>
              <w:rPr/>
            </w:pPr>
            <w:r>
              <w:rPr/>
              <w:t>Balance at June 30, 2026</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83"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363" w:name="xdx_90E_eus-gaap--PreferredStockParOrSta"/>
            <w:bookmarkEnd w:id="363"/>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9"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364" w:name="xdx_90A_eus-gaap--PreferredStockSharesAu"/>
            <w:bookmarkEnd w:id="364"/>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34"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365" w:name="xdx_906_eus-gaap--PreferredStockSharesOu"/>
            <w:bookmarkStart w:id="366" w:name="xdx_90F_eus-gaap--PreferredStockSharesIs"/>
            <w:bookmarkEnd w:id="365"/>
            <w:bookmarkEnd w:id="366"/>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67" w:name="xdx_98F_eus-gaap--PreferredStockValue_iI"/>
            <w:bookmarkEnd w:id="367"/>
          </w:p>
        </w:tc>
        <w:tc>
          <w:tcPr>
            <w:tcW w:w="7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368" w:name="xdx_98D_eus-gaap--PreferredStockLiquidat"/>
            <w:bookmarkEnd w:id="368"/>
          </w:p>
        </w:tc>
        <w:tc>
          <w:tcPr>
            <w:tcW w:w="61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369" w:name="xdx_98F_eus-gaap--ConvertiblePreferredSt"/>
            <w:bookmarkEnd w:id="369"/>
          </w:p>
        </w:tc>
        <w:tc>
          <w:tcPr>
            <w:tcW w:w="1296"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370" w:name="xdx_8AA_zXuCJHqHlSl5"/>
      <w:bookmarkEnd w:id="370"/>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share of Series A is convertible into </w:t>
      </w:r>
      <w:bookmarkStart w:id="371" w:name="xdx_903_eus-gaap--ConversionOfStockShare"/>
      <w:bookmarkEnd w:id="371"/>
      <w:r>
        <w:rPr>
          <w:rFonts w:ascii="Times New Roman;Times;Serif" w:hAnsi="Times New Roman;Times;Serif"/>
          <w:b w:val="false"/>
          <w:i w:val="false"/>
          <w:caps w:val="false"/>
          <w:smallCaps w:val="false"/>
          <w:sz w:val="20"/>
        </w:rPr>
        <w:t>1,000 shares of Common Stock of the Company at the election of the holder, subject to certain adjustments and to beneficial ownership limitations. Each share of Series A shall be entitled to vote with the Company’s Common Stock on an as-converted basis, subject to beneficial ownership limitations. All shares of capital stock of the Company, both Common Stock and any other series of preferred stock, shall be junior in rank to all shares of Series A with respect to payments upon the liquidation, dissolution, and winding up of the Company.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bookmarkStart w:id="372" w:name="xdx_23E_zBfrfBJIGrhh"/>
      <w:bookmarkEnd w:id="372"/>
      <w:r>
        <w:rPr>
          <w:caps w:val="false"/>
          <w:smallCaps w:val="false"/>
        </w:rPr>
        <w:t> </w:t>
      </w:r>
    </w:p>
    <w:p>
      <w:pPr>
        <w:pStyle w:val="TextBody"/>
        <w:bidi w:val="0"/>
        <w:spacing w:before="0" w:after="0"/>
        <w:ind w:left="0" w:right="0" w:firstLine="360"/>
        <w:jc w:val="left"/>
        <w:rPr>
          <w:caps w:val="false"/>
          <w:smallCaps w:val="false"/>
        </w:rPr>
      </w:pPr>
      <w:bookmarkStart w:id="373" w:name="xdx_231_zECQjepb4ZId"/>
      <w:bookmarkEnd w:id="373"/>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left"/>
        <w:rPr>
          <w:caps w:val="false"/>
          <w:smallCaps w:val="false"/>
        </w:rPr>
      </w:pPr>
      <w:bookmarkStart w:id="374" w:name="xdx_23A_zl91U714vYK4"/>
      <w:bookmarkEnd w:id="374"/>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7, 2026, the Company issued a total of </w:t>
      </w:r>
      <w:bookmarkStart w:id="375" w:name="xdx_90C_eus-gaap--PreferredStockConverti"/>
      <w:bookmarkEnd w:id="375"/>
      <w:r>
        <w:rPr>
          <w:rFonts w:ascii="Times New Roman;Times;Serif" w:hAnsi="Times New Roman;Times;Serif"/>
          <w:b w:val="false"/>
          <w:i w:val="false"/>
          <w:caps w:val="false"/>
          <w:smallCaps w:val="false"/>
          <w:sz w:val="20"/>
        </w:rPr>
        <w:t xml:space="preserve">15,000,000 shares of Common Stock pursuant to the automatic conversion of </w:t>
      </w:r>
      <w:bookmarkStart w:id="376" w:name="xdx_90D_eus-gaap--ConvertiblePreferredSt"/>
      <w:bookmarkEnd w:id="376"/>
      <w:r>
        <w:rPr>
          <w:rFonts w:ascii="Times New Roman;Times;Serif" w:hAnsi="Times New Roman;Times;Serif"/>
          <w:b w:val="false"/>
          <w:i w:val="false"/>
          <w:caps w:val="false"/>
          <w:smallCaps w:val="false"/>
          <w:sz w:val="20"/>
        </w:rPr>
        <w:t>15,000 shares of Series A Convertible Preferred Stock upon completion of certain trigger events. Subsequent to the automatic conversion, the Certificate of Designations of the Series A Convertible Preferred Stock was withdrawn and all previously designated shares of Series A were returned to their status as authorized preferred stock available for issuance.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C Convertible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authorized, issued, and outstanding Series C Convertible Preferred Stock and their principal were as follows:</w:t>
      </w:r>
    </w:p>
    <w:p>
      <w:pPr>
        <w:pStyle w:val="Normal"/>
        <w:bidi w:val="0"/>
        <w:spacing w:before="0" w:after="0"/>
        <w:jc w:val="left"/>
        <w:rPr>
          <w:sz w:val="4"/>
          <w:szCs w:val="4"/>
        </w:rPr>
      </w:pPr>
      <w:r>
        <w:rPr>
          <w:sz w:val="4"/>
          <w:szCs w:val="4"/>
        </w:rPr>
      </w:r>
      <w:bookmarkStart w:id="377" w:name="xdx_897_eus-gaap--ScheduleOfStockByClass"/>
      <w:bookmarkStart w:id="378" w:name="xdx_897_eus-gaap--ScheduleOfStockByClass"/>
      <w:bookmarkEnd w:id="378"/>
    </w:p>
    <w:tbl>
      <w:tblPr>
        <w:tblW w:w="10205" w:type="dxa"/>
        <w:jc w:val="left"/>
        <w:tblInd w:w="0" w:type="dxa"/>
        <w:tblLayout w:type="fixed"/>
        <w:tblCellMar>
          <w:top w:w="0" w:type="dxa"/>
          <w:left w:w="0" w:type="dxa"/>
          <w:bottom w:w="0" w:type="dxa"/>
          <w:right w:w="0" w:type="dxa"/>
        </w:tblCellMar>
      </w:tblPr>
      <w:tblGrid>
        <w:gridCol w:w="2447"/>
        <w:gridCol w:w="60"/>
        <w:gridCol w:w="69"/>
        <w:gridCol w:w="792"/>
        <w:gridCol w:w="60"/>
        <w:gridCol w:w="60"/>
        <w:gridCol w:w="95"/>
        <w:gridCol w:w="1080"/>
        <w:gridCol w:w="60"/>
        <w:gridCol w:w="60"/>
        <w:gridCol w:w="116"/>
        <w:gridCol w:w="1337"/>
        <w:gridCol w:w="60"/>
        <w:gridCol w:w="60"/>
        <w:gridCol w:w="193"/>
        <w:gridCol w:w="772"/>
        <w:gridCol w:w="60"/>
        <w:gridCol w:w="60"/>
        <w:gridCol w:w="610"/>
        <w:gridCol w:w="610"/>
        <w:gridCol w:w="60"/>
        <w:gridCol w:w="60"/>
        <w:gridCol w:w="68"/>
        <w:gridCol w:w="1278"/>
        <w:gridCol w:w="78"/>
      </w:tblGrid>
      <w:tr>
        <w:trPr/>
        <w:tc>
          <w:tcPr>
            <w:tcW w:w="2447" w:type="dxa"/>
            <w:tcBorders/>
            <w:shd w:fill="FFFFFF" w:val="clear"/>
            <w:vAlign w:val="center"/>
          </w:tcPr>
          <w:p>
            <w:pPr>
              <w:pStyle w:val="TableContents"/>
              <w:bidi w:val="0"/>
              <w:spacing w:before="0" w:after="283"/>
              <w:jc w:val="left"/>
              <w:rPr/>
            </w:pPr>
            <w:bookmarkStart w:id="379" w:name="xdx_8B7_zpq1B863fA4"/>
            <w:bookmarkEnd w:id="379"/>
            <w:r>
              <w:rPr/>
              <w:t>Schedule of Series C convertible preferred stock</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278"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24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1"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39"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Series C Convertible Preferred Stock</w:t>
            </w:r>
          </w:p>
        </w:tc>
        <w:tc>
          <w:tcPr>
            <w:tcW w:w="78" w:type="dxa"/>
            <w:tcBorders/>
            <w:vAlign w:val="center"/>
          </w:tcPr>
          <w:p>
            <w:pPr>
              <w:pStyle w:val="TableContents"/>
              <w:bidi w:val="0"/>
              <w:spacing w:before="0" w:after="283"/>
              <w:jc w:val="left"/>
              <w:rPr/>
            </w:pPr>
            <w:r>
              <w:rPr/>
              <w:t> </w:t>
            </w:r>
          </w:p>
        </w:tc>
      </w:tr>
      <w:tr>
        <w:trPr/>
        <w:tc>
          <w:tcPr>
            <w:tcW w:w="24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Stock Issued</w:t>
              <w:br/>
              <w:t>and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Carrying</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Liquidation</w:t>
              <w:br/>
              <w:t>Preference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Common Stock</w:t>
              <w:br/>
              <w:t>Issuable Upon</w:t>
              <w:br/>
              <w:t>Conversion</w:t>
            </w:r>
          </w:p>
        </w:tc>
        <w:tc>
          <w:tcPr>
            <w:tcW w:w="78" w:type="dxa"/>
            <w:tcBorders/>
            <w:vAlign w:val="center"/>
          </w:tcPr>
          <w:p>
            <w:pPr>
              <w:pStyle w:val="TableContents"/>
              <w:bidi w:val="0"/>
              <w:spacing w:before="0" w:after="283"/>
              <w:jc w:val="left"/>
              <w:rPr/>
            </w:pPr>
            <w:r>
              <w:rPr/>
              <w:t> </w:t>
            </w:r>
          </w:p>
        </w:tc>
      </w:tr>
      <w:tr>
        <w:trPr/>
        <w:tc>
          <w:tcPr>
            <w:tcW w:w="2447"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92" w:type="dxa"/>
            <w:tcBorders/>
            <w:shd w:fill="CCEEFF" w:val="clear"/>
            <w:vAlign w:val="center"/>
          </w:tcPr>
          <w:p>
            <w:pPr>
              <w:pStyle w:val="TableContents"/>
              <w:bidi w:val="0"/>
              <w:spacing w:before="0" w:after="283"/>
              <w:jc w:val="right"/>
              <w:rPr/>
            </w:pPr>
            <w:bookmarkStart w:id="380" w:name="xdx_906_eus-gaap--PreferredStockParOrSta"/>
            <w:bookmarkEnd w:id="380"/>
            <w:r>
              <w:rPr/>
              <w:t>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bookmarkStart w:id="381" w:name="xdx_903_eus-gaap--PreferredStockSharesAu"/>
            <w:bookmarkEnd w:id="381"/>
            <w:r>
              <w:rPr/>
              <w:t>23,000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337" w:type="dxa"/>
            <w:tcBorders/>
            <w:shd w:fill="CCEEFF" w:val="clear"/>
            <w:vAlign w:val="center"/>
          </w:tcPr>
          <w:p>
            <w:pPr>
              <w:pStyle w:val="TableContents"/>
              <w:bidi w:val="0"/>
              <w:spacing w:before="0" w:after="283"/>
              <w:jc w:val="right"/>
              <w:rPr/>
            </w:pPr>
            <w:bookmarkStart w:id="382" w:name="xdx_90F_eus-gaap--PreferredStockSharesOu"/>
            <w:bookmarkStart w:id="383" w:name="xdx_90F_eus-gaap--PreferredStockSharesIs"/>
            <w:bookmarkEnd w:id="382"/>
            <w:bookmarkEnd w:id="383"/>
            <w:r>
              <w:rPr/>
              <w:t>11,983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bookmarkStart w:id="384" w:name="xdx_982_ecustom--PreferredStockCarryingV"/>
            <w:bookmarkEnd w:id="384"/>
          </w:p>
        </w:tc>
        <w:tc>
          <w:tcPr>
            <w:tcW w:w="772" w:type="dxa"/>
            <w:tcBorders/>
            <w:shd w:fill="CCEEFF" w:val="clear"/>
            <w:vAlign w:val="center"/>
          </w:tcPr>
          <w:p>
            <w:pPr>
              <w:pStyle w:val="TableContents"/>
              <w:bidi w:val="0"/>
              <w:spacing w:before="0" w:after="283"/>
              <w:jc w:val="right"/>
              <w:rPr/>
            </w:pPr>
            <w:r>
              <w:rPr/>
              <w:t>4,429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0" w:type="dxa"/>
            <w:tcBorders/>
            <w:shd w:fill="CCEEFF" w:val="clear"/>
            <w:vAlign w:val="center"/>
          </w:tcPr>
          <w:p>
            <w:pPr>
              <w:pStyle w:val="TableContents"/>
              <w:bidi w:val="0"/>
              <w:spacing w:before="0" w:after="283"/>
              <w:jc w:val="left"/>
              <w:rPr/>
            </w:pPr>
            <w:r>
              <w:rPr/>
              <w:t>$</w:t>
            </w:r>
            <w:bookmarkStart w:id="385" w:name="xdx_989_eus-gaap--PreferredStockLiquidat"/>
            <w:bookmarkEnd w:id="385"/>
          </w:p>
        </w:tc>
        <w:tc>
          <w:tcPr>
            <w:tcW w:w="61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386" w:name="xdx_98A_eus-gaap--ConvertiblePreferredSt"/>
            <w:bookmarkEnd w:id="386"/>
          </w:p>
        </w:tc>
        <w:tc>
          <w:tcPr>
            <w:tcW w:w="1278" w:type="dxa"/>
            <w:tcBorders/>
            <w:shd w:fill="CCEEFF" w:val="clear"/>
            <w:vAlign w:val="center"/>
          </w:tcPr>
          <w:p>
            <w:pPr>
              <w:pStyle w:val="TableContents"/>
              <w:bidi w:val="0"/>
              <w:spacing w:before="0" w:after="283"/>
              <w:jc w:val="right"/>
              <w:rPr/>
            </w:pPr>
            <w:r>
              <w:rPr/>
              <w:t>11,983,000</w:t>
            </w:r>
          </w:p>
        </w:tc>
        <w:tc>
          <w:tcPr>
            <w:tcW w:w="78" w:type="dxa"/>
            <w:tcBorders/>
            <w:shd w:fill="CCEEFF" w:val="clear"/>
            <w:vAlign w:val="center"/>
          </w:tcPr>
          <w:p>
            <w:pPr>
              <w:pStyle w:val="TableContents"/>
              <w:bidi w:val="0"/>
              <w:spacing w:before="0" w:after="283"/>
              <w:jc w:val="left"/>
              <w:rPr/>
            </w:pPr>
            <w:r>
              <w:rPr/>
              <w:t> </w:t>
            </w:r>
          </w:p>
        </w:tc>
      </w:tr>
      <w:tr>
        <w:trPr/>
        <w:tc>
          <w:tcPr>
            <w:tcW w:w="2447" w:type="dxa"/>
            <w:tcBorders/>
            <w:shd w:fill="FFFFFF" w:val="clear"/>
            <w:vAlign w:val="center"/>
          </w:tcPr>
          <w:p>
            <w:pPr>
              <w:pStyle w:val="TableContents"/>
              <w:bidi w:val="0"/>
              <w:spacing w:before="0" w:after="283"/>
              <w:jc w:val="left"/>
              <w:rPr/>
            </w:pPr>
            <w:r>
              <w:rPr/>
              <w:t>Issued</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92" w:type="dxa"/>
            <w:tcBorders/>
            <w:shd w:fill="FFFFFF" w:val="clear"/>
            <w:vAlign w:val="center"/>
          </w:tcPr>
          <w:p>
            <w:pPr>
              <w:pStyle w:val="TableContents"/>
              <w:bidi w:val="0"/>
              <w:spacing w:before="0" w:after="283"/>
              <w:jc w:val="right"/>
              <w:rPr/>
            </w:pPr>
            <w:bookmarkStart w:id="387" w:name="xdx_90C_eus-gaap--PreferredStockParOrSta"/>
            <w:bookmarkEnd w:id="387"/>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bookmarkStart w:id="388" w:name="xdx_909_eus-gaap--PreferredStockSharesAu"/>
            <w:bookmarkEnd w:id="388"/>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337" w:type="dxa"/>
            <w:tcBorders/>
            <w:shd w:fill="FFFFFF" w:val="clear"/>
            <w:vAlign w:val="center"/>
          </w:tcPr>
          <w:p>
            <w:pPr>
              <w:pStyle w:val="TableContents"/>
              <w:bidi w:val="0"/>
              <w:spacing w:before="0" w:after="283"/>
              <w:jc w:val="right"/>
              <w:rPr/>
            </w:pPr>
            <w:bookmarkStart w:id="389" w:name="xdx_907_eus-gaap--PreferredStockSharesIs"/>
            <w:bookmarkStart w:id="390" w:name="xdx_906_eus-gaap--PreferredStockSharesOu"/>
            <w:bookmarkEnd w:id="389"/>
            <w:bookmarkEnd w:id="390"/>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bookmarkStart w:id="391" w:name="xdx_98E_eus-gaap--PreferredStockValue_iI"/>
            <w:bookmarkEnd w:id="391"/>
          </w:p>
        </w:tc>
        <w:tc>
          <w:tcPr>
            <w:tcW w:w="772"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0" w:type="dxa"/>
            <w:tcBorders/>
            <w:shd w:fill="FFFFFF" w:val="clear"/>
            <w:vAlign w:val="center"/>
          </w:tcPr>
          <w:p>
            <w:pPr>
              <w:pStyle w:val="TableContents"/>
              <w:bidi w:val="0"/>
              <w:spacing w:before="0" w:after="283"/>
              <w:jc w:val="left"/>
              <w:rPr/>
            </w:pPr>
            <w:r>
              <w:rPr/>
              <w:t> </w:t>
            </w:r>
            <w:bookmarkStart w:id="392" w:name="xdx_98C_eus-gaap--PreferredStockLiquidat"/>
            <w:bookmarkEnd w:id="392"/>
          </w:p>
        </w:tc>
        <w:tc>
          <w:tcPr>
            <w:tcW w:w="61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393" w:name="xdx_980_eus-gaap--ConvertiblePreferredSt"/>
            <w:bookmarkEnd w:id="393"/>
          </w:p>
        </w:tc>
        <w:tc>
          <w:tcPr>
            <w:tcW w:w="1278" w:type="dxa"/>
            <w:tcBorders/>
            <w:shd w:fill="FFFFFF" w:val="clear"/>
            <w:vAlign w:val="center"/>
          </w:tcPr>
          <w:p>
            <w:pPr>
              <w:pStyle w:val="TableContents"/>
              <w:bidi w:val="0"/>
              <w:spacing w:before="0" w:after="283"/>
              <w:jc w:val="right"/>
              <w:rPr/>
            </w:pPr>
            <w:r>
              <w:rPr/>
              <w:t>–</w:t>
            </w:r>
          </w:p>
        </w:tc>
        <w:tc>
          <w:tcPr>
            <w:tcW w:w="78" w:type="dxa"/>
            <w:tcBorders/>
            <w:shd w:fill="FFFFFF" w:val="clear"/>
            <w:vAlign w:val="center"/>
          </w:tcPr>
          <w:p>
            <w:pPr>
              <w:pStyle w:val="TableContents"/>
              <w:bidi w:val="0"/>
              <w:spacing w:before="0" w:after="283"/>
              <w:jc w:val="left"/>
              <w:rPr/>
            </w:pPr>
            <w:r>
              <w:rPr/>
              <w:t> </w:t>
            </w:r>
          </w:p>
        </w:tc>
      </w:tr>
      <w:tr>
        <w:trPr/>
        <w:tc>
          <w:tcPr>
            <w:tcW w:w="2447" w:type="dxa"/>
            <w:tcBorders/>
            <w:shd w:fill="CCEEFF" w:val="clear"/>
            <w:vAlign w:val="center"/>
          </w:tcPr>
          <w:p>
            <w:pPr>
              <w:pStyle w:val="TableContents"/>
              <w:bidi w:val="0"/>
              <w:spacing w:before="0" w:after="283"/>
              <w:jc w:val="left"/>
              <w:rPr/>
            </w:pPr>
            <w:r>
              <w:rPr/>
              <w:t>Converted to common stock</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92"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394" w:name="xdx_903_eus-gaap--PreferredStockParOrSta"/>
            <w:bookmarkEnd w:id="394"/>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395" w:name="xdx_90D_eus-gaap--PreferredStockSharesAu"/>
            <w:bookmarkEnd w:id="395"/>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37" w:type="dxa"/>
            <w:tcBorders>
              <w:bottom w:val="single" w:sz="8" w:space="0" w:color="000000"/>
            </w:tcBorders>
            <w:shd w:fill="CCEEFF" w:val="clear"/>
            <w:tcMar>
              <w:bottom w:w="28" w:type="dxa"/>
            </w:tcMar>
            <w:vAlign w:val="center"/>
          </w:tcPr>
          <w:p>
            <w:pPr>
              <w:pStyle w:val="TableContents"/>
              <w:bidi w:val="0"/>
              <w:spacing w:before="0" w:after="283"/>
              <w:jc w:val="right"/>
              <w:rPr/>
            </w:pPr>
            <w:bookmarkStart w:id="396" w:name="xdx_901_eus-gaap--PreferredStockSharesOu"/>
            <w:bookmarkStart w:id="397" w:name="xdx_904_eus-gaap--PreferredStockSharesIs"/>
            <w:bookmarkEnd w:id="396"/>
            <w:bookmarkEnd w:id="397"/>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98" w:name="xdx_986_eus-gaap--PreferredStockValue_iI"/>
            <w:bookmarkEnd w:id="398"/>
          </w:p>
        </w:tc>
        <w:tc>
          <w:tcPr>
            <w:tcW w:w="772"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399" w:name="xdx_981_eus-gaap--PreferredStockLiquidat"/>
            <w:bookmarkEnd w:id="399"/>
          </w:p>
        </w:tc>
        <w:tc>
          <w:tcPr>
            <w:tcW w:w="61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bookmarkStart w:id="400" w:name="xdx_989_eus-gaap--ConvertiblePreferredSt"/>
            <w:bookmarkEnd w:id="400"/>
          </w:p>
        </w:tc>
        <w:tc>
          <w:tcPr>
            <w:tcW w:w="127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78" w:type="dxa"/>
            <w:tcBorders/>
            <w:shd w:fill="CCEEFF" w:val="clear"/>
            <w:vAlign w:val="center"/>
          </w:tcPr>
          <w:p>
            <w:pPr>
              <w:pStyle w:val="TableContents"/>
              <w:bidi w:val="0"/>
              <w:spacing w:before="0" w:after="283"/>
              <w:jc w:val="left"/>
              <w:rPr/>
            </w:pPr>
            <w:r>
              <w:rPr/>
              <w:t> </w:t>
            </w:r>
          </w:p>
        </w:tc>
      </w:tr>
      <w:tr>
        <w:trPr/>
        <w:tc>
          <w:tcPr>
            <w:tcW w:w="2447" w:type="dxa"/>
            <w:tcBorders/>
            <w:shd w:fill="FFFFFF" w:val="clear"/>
            <w:vAlign w:val="center"/>
          </w:tcPr>
          <w:p>
            <w:pPr>
              <w:pStyle w:val="TableContents"/>
              <w:bidi w:val="0"/>
              <w:spacing w:before="0" w:after="283"/>
              <w:jc w:val="left"/>
              <w:rPr/>
            </w:pPr>
            <w:r>
              <w:rPr/>
              <w:t>Balance at June 30, 2026</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792"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401" w:name="xdx_906_eus-gaap--PreferredStockParOrSta"/>
            <w:bookmarkEnd w:id="401"/>
            <w:r>
              <w:rPr/>
              <w:t>0.0001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402" w:name="xdx_901_eus-gaap--PreferredStockSharesAu"/>
            <w:bookmarkEnd w:id="402"/>
            <w:r>
              <w:rPr/>
              <w:t>23,000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37"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403" w:name="xdx_901_eus-gaap--PreferredStockSharesOu"/>
            <w:bookmarkStart w:id="404" w:name="xdx_90E_eus-gaap--PreferredStockSharesIs"/>
            <w:bookmarkEnd w:id="403"/>
            <w:bookmarkEnd w:id="404"/>
            <w:r>
              <w:rPr/>
              <w:t>11,983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05" w:name="xdx_98B_ecustom--PreferredStockCarryingV"/>
            <w:bookmarkEnd w:id="405"/>
          </w:p>
        </w:tc>
        <w:tc>
          <w:tcPr>
            <w:tcW w:w="772" w:type="dxa"/>
            <w:tcBorders>
              <w:bottom w:val="double" w:sz="6" w:space="0" w:color="000000"/>
            </w:tcBorders>
            <w:shd w:fill="FFFFFF" w:val="clear"/>
            <w:tcMar>
              <w:bottom w:w="28" w:type="dxa"/>
            </w:tcMar>
            <w:vAlign w:val="center"/>
          </w:tcPr>
          <w:p>
            <w:pPr>
              <w:pStyle w:val="TableContents"/>
              <w:bidi w:val="0"/>
              <w:spacing w:before="0" w:after="283"/>
              <w:jc w:val="right"/>
              <w:rPr/>
            </w:pPr>
            <w:r>
              <w:rPr/>
              <w:t>4,429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406" w:name="xdx_983_eus-gaap--PreferredStockLiquidat"/>
            <w:bookmarkEnd w:id="406"/>
          </w:p>
        </w:tc>
        <w:tc>
          <w:tcPr>
            <w:tcW w:w="610"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407" w:name="xdx_989_eus-gaap--ConvertiblePreferredSt"/>
            <w:bookmarkEnd w:id="407"/>
          </w:p>
        </w:tc>
        <w:tc>
          <w:tcPr>
            <w:tcW w:w="1278" w:type="dxa"/>
            <w:tcBorders>
              <w:bottom w:val="double" w:sz="6" w:space="0" w:color="000000"/>
            </w:tcBorders>
            <w:shd w:fill="FFFFFF" w:val="clear"/>
            <w:tcMar>
              <w:bottom w:w="28" w:type="dxa"/>
            </w:tcMar>
            <w:vAlign w:val="center"/>
          </w:tcPr>
          <w:p>
            <w:pPr>
              <w:pStyle w:val="TableContents"/>
              <w:bidi w:val="0"/>
              <w:spacing w:before="0" w:after="283"/>
              <w:jc w:val="right"/>
              <w:rPr/>
            </w:pPr>
            <w:r>
              <w:rPr/>
              <w:t>11,983,000</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08" w:name="xdx_8A2_z4Go5AKlb2Ib"/>
      <w:bookmarkEnd w:id="408"/>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share of Series C Convertible Preferred Stock is convertible into </w:t>
      </w:r>
      <w:bookmarkStart w:id="409" w:name="xdx_904_eus-gaap--ConversionOfStockShare"/>
      <w:bookmarkEnd w:id="409"/>
      <w:r>
        <w:rPr>
          <w:rFonts w:ascii="Times New Roman;Times;Serif" w:hAnsi="Times New Roman;Times;Serif"/>
          <w:b w:val="false"/>
          <w:i w:val="false"/>
          <w:caps w:val="false"/>
          <w:smallCaps w:val="false"/>
          <w:sz w:val="20"/>
        </w:rPr>
        <w:t>1,000 shares of Common Stock of the Company at the election of the holder, subject to certain adjustments and to beneficial ownership limitations. Each share of Series C Convertible Preferred Stock shall be entitled to vote with the Company’s Common Stock on an as-converted basis, subject to beneficial ownership limitations. The holders of Series C Convertible Preferred Stock shall rank pari passu with the holders of Common Stock with respect to any liquidation, dissolution or winding up of the Company. The Series C Convertible Preferred Stock are not redeemable.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D Convertible 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 authorized, issued, and outstanding Series D Convertible Preferred Stock and their principal were as follows:</w:t>
      </w:r>
    </w:p>
    <w:p>
      <w:pPr>
        <w:pStyle w:val="Normal"/>
        <w:bidi w:val="0"/>
        <w:spacing w:before="0" w:after="0"/>
        <w:jc w:val="left"/>
        <w:rPr>
          <w:sz w:val="4"/>
          <w:szCs w:val="4"/>
        </w:rPr>
      </w:pPr>
      <w:r>
        <w:rPr>
          <w:sz w:val="4"/>
          <w:szCs w:val="4"/>
        </w:rPr>
      </w:r>
      <w:bookmarkStart w:id="410" w:name="xdx_894_eus-gaap--ScheduleOfStockByClass"/>
      <w:bookmarkStart w:id="411" w:name="xdx_894_eus-gaap--ScheduleOfStockByClass"/>
      <w:bookmarkEnd w:id="411"/>
    </w:p>
    <w:tbl>
      <w:tblPr>
        <w:tblW w:w="10205" w:type="dxa"/>
        <w:jc w:val="left"/>
        <w:tblInd w:w="0" w:type="dxa"/>
        <w:tblLayout w:type="fixed"/>
        <w:tblCellMar>
          <w:top w:w="0" w:type="dxa"/>
          <w:left w:w="0" w:type="dxa"/>
          <w:bottom w:w="0" w:type="dxa"/>
          <w:right w:w="0" w:type="dxa"/>
        </w:tblCellMar>
      </w:tblPr>
      <w:tblGrid>
        <w:gridCol w:w="2450"/>
        <w:gridCol w:w="60"/>
        <w:gridCol w:w="69"/>
        <w:gridCol w:w="791"/>
        <w:gridCol w:w="60"/>
        <w:gridCol w:w="60"/>
        <w:gridCol w:w="95"/>
        <w:gridCol w:w="1080"/>
        <w:gridCol w:w="60"/>
        <w:gridCol w:w="60"/>
        <w:gridCol w:w="116"/>
        <w:gridCol w:w="1335"/>
        <w:gridCol w:w="60"/>
        <w:gridCol w:w="60"/>
        <w:gridCol w:w="164"/>
        <w:gridCol w:w="801"/>
        <w:gridCol w:w="60"/>
        <w:gridCol w:w="60"/>
        <w:gridCol w:w="208"/>
        <w:gridCol w:w="1012"/>
        <w:gridCol w:w="60"/>
        <w:gridCol w:w="60"/>
        <w:gridCol w:w="68"/>
        <w:gridCol w:w="1276"/>
        <w:gridCol w:w="80"/>
      </w:tblGrid>
      <w:tr>
        <w:trPr/>
        <w:tc>
          <w:tcPr>
            <w:tcW w:w="2450" w:type="dxa"/>
            <w:tcBorders/>
            <w:vAlign w:val="center"/>
          </w:tcPr>
          <w:p>
            <w:pPr>
              <w:pStyle w:val="TableContents"/>
              <w:bidi w:val="0"/>
              <w:spacing w:before="0" w:after="283"/>
              <w:jc w:val="left"/>
              <w:rPr/>
            </w:pPr>
            <w:bookmarkStart w:id="412" w:name="xdx_8BE_zsr3sQBKswA5"/>
            <w:bookmarkEnd w:id="412"/>
            <w:r>
              <w:rPr/>
              <w:t>Schedule of Series D convertible preferred stock</w:t>
            </w:r>
          </w:p>
        </w:tc>
        <w:tc>
          <w:tcPr>
            <w:tcW w:w="60"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79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8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133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01"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8" w:type="dxa"/>
            <w:tcBorders/>
            <w:vAlign w:val="center"/>
          </w:tcPr>
          <w:p>
            <w:pPr>
              <w:pStyle w:val="TableContents"/>
              <w:bidi w:val="0"/>
              <w:spacing w:before="0" w:after="283"/>
              <w:jc w:val="left"/>
              <w:rPr/>
            </w:pPr>
            <w:r>
              <w:rPr/>
              <w:t> </w:t>
            </w:r>
          </w:p>
        </w:tc>
        <w:tc>
          <w:tcPr>
            <w:tcW w:w="10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right"/>
              <w:rPr/>
            </w:pPr>
            <w:r>
              <w:rPr/>
              <w:t> </w:t>
            </w:r>
          </w:p>
        </w:tc>
        <w:tc>
          <w:tcPr>
            <w:tcW w:w="8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3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Series D Convertible Preferred Stock</w:t>
            </w:r>
          </w:p>
        </w:tc>
        <w:tc>
          <w:tcPr>
            <w:tcW w:w="80" w:type="dxa"/>
            <w:tcBorders/>
            <w:vAlign w:val="center"/>
          </w:tcPr>
          <w:p>
            <w:pPr>
              <w:pStyle w:val="TableContents"/>
              <w:bidi w:val="0"/>
              <w:spacing w:before="0" w:after="283"/>
              <w:jc w:val="left"/>
              <w:rPr/>
            </w:pPr>
            <w:r>
              <w:rPr/>
              <w:t> </w:t>
            </w:r>
          </w:p>
        </w:tc>
      </w:tr>
      <w:tr>
        <w:trPr/>
        <w:tc>
          <w:tcPr>
            <w:tcW w:w="2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Par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Authorized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Issued</w:t>
              <w:br/>
              <w:t>and Outstanding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Carrying</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Liquidation</w:t>
              <w:br/>
              <w:t>Preference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Common Stock</w:t>
              <w:br/>
              <w:t>Issuable Upon</w:t>
              <w:br/>
              <w:t>Conversion</w:t>
            </w:r>
          </w:p>
        </w:tc>
        <w:tc>
          <w:tcPr>
            <w:tcW w:w="80" w:type="dxa"/>
            <w:tcBorders/>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bookmarkStart w:id="413" w:name="xdx_901_eus-gaap--PreferredStockParOrSta"/>
            <w:bookmarkEnd w:id="413"/>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bookmarkStart w:id="414" w:name="xdx_90B_eus-gaap--PreferredStockSharesAu"/>
            <w:bookmarkEnd w:id="414"/>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bookmarkStart w:id="415" w:name="xdx_907_eus-gaap--PreferredStockSharesOu"/>
            <w:bookmarkStart w:id="416" w:name="xdx_901_eus-gaap--PreferredStockSharesIs"/>
            <w:bookmarkEnd w:id="415"/>
            <w:bookmarkEnd w:id="416"/>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w:t>
            </w:r>
            <w:bookmarkStart w:id="417" w:name="xdx_982_ecustom--PreferredStockCarryingV"/>
            <w:bookmarkEnd w:id="417"/>
          </w:p>
        </w:tc>
        <w:tc>
          <w:tcPr>
            <w:tcW w:w="80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bookmarkStart w:id="418" w:name="xdx_984_eus-gaap--PreferredStockLiquidat"/>
            <w:bookmarkEnd w:id="418"/>
          </w:p>
        </w:tc>
        <w:tc>
          <w:tcPr>
            <w:tcW w:w="101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419" w:name="xdx_984_eus-gaap--ConvertiblePreferredSt"/>
            <w:bookmarkEnd w:id="419"/>
          </w:p>
        </w:tc>
        <w:tc>
          <w:tcPr>
            <w:tcW w:w="1276"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Issued</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791" w:type="dxa"/>
            <w:tcBorders/>
            <w:shd w:fill="FFFFFF" w:val="clear"/>
            <w:vAlign w:val="center"/>
          </w:tcPr>
          <w:p>
            <w:pPr>
              <w:pStyle w:val="TableContents"/>
              <w:bidi w:val="0"/>
              <w:spacing w:before="0" w:after="283"/>
              <w:jc w:val="right"/>
              <w:rPr/>
            </w:pPr>
            <w:bookmarkStart w:id="420" w:name="xdx_90D_eus-gaap--PreferredStockParOrSta"/>
            <w:bookmarkEnd w:id="420"/>
            <w:r>
              <w:rPr/>
              <w:t>0.0001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080" w:type="dxa"/>
            <w:tcBorders/>
            <w:shd w:fill="FFFFFF" w:val="clear"/>
            <w:vAlign w:val="center"/>
          </w:tcPr>
          <w:p>
            <w:pPr>
              <w:pStyle w:val="TableContents"/>
              <w:bidi w:val="0"/>
              <w:spacing w:before="0" w:after="283"/>
              <w:jc w:val="right"/>
              <w:rPr/>
            </w:pPr>
            <w:bookmarkStart w:id="421" w:name="xdx_90B_eus-gaap--PreferredStockSharesAu"/>
            <w:bookmarkEnd w:id="421"/>
            <w:r>
              <w:rPr/>
              <w:t>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1335" w:type="dxa"/>
            <w:tcBorders/>
            <w:shd w:fill="FFFFFF" w:val="clear"/>
            <w:vAlign w:val="center"/>
          </w:tcPr>
          <w:p>
            <w:pPr>
              <w:pStyle w:val="TableContents"/>
              <w:bidi w:val="0"/>
              <w:spacing w:before="0" w:after="283"/>
              <w:jc w:val="right"/>
              <w:rPr/>
            </w:pPr>
            <w:bookmarkStart w:id="422" w:name="xdx_90F_eus-gaap--PreferredStockSharesOu"/>
            <w:bookmarkStart w:id="423" w:name="xdx_904_eus-gaap--PreferredStockSharesIs"/>
            <w:bookmarkEnd w:id="422"/>
            <w:bookmarkEnd w:id="423"/>
            <w:r>
              <w:rPr/>
              <w:t>15,000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bookmarkStart w:id="424" w:name="xdx_98A_eus-gaap--PreferredStockValue_iI"/>
            <w:bookmarkEnd w:id="424"/>
          </w:p>
        </w:tc>
        <w:tc>
          <w:tcPr>
            <w:tcW w:w="801" w:type="dxa"/>
            <w:tcBorders/>
            <w:shd w:fill="FFFFFF" w:val="clear"/>
            <w:vAlign w:val="center"/>
          </w:tcPr>
          <w:p>
            <w:pPr>
              <w:pStyle w:val="TableContents"/>
              <w:bidi w:val="0"/>
              <w:spacing w:before="0" w:after="283"/>
              <w:jc w:val="right"/>
              <w:rPr/>
            </w:pPr>
            <w:r>
              <w:rPr/>
              <w:t>13,838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bookmarkStart w:id="425" w:name="xdx_98D_eus-gaap--PreferredStockLiquidat"/>
            <w:bookmarkEnd w:id="425"/>
          </w:p>
        </w:tc>
        <w:tc>
          <w:tcPr>
            <w:tcW w:w="1012" w:type="dxa"/>
            <w:tcBorders/>
            <w:shd w:fill="FFFFFF" w:val="clear"/>
            <w:vAlign w:val="center"/>
          </w:tcPr>
          <w:p>
            <w:pPr>
              <w:pStyle w:val="TableContents"/>
              <w:bidi w:val="0"/>
              <w:spacing w:before="0" w:after="283"/>
              <w:jc w:val="right"/>
              <w:rPr/>
            </w:pPr>
            <w:r>
              <w:rPr/>
              <w:t>16,500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bookmarkStart w:id="426" w:name="xdx_98B_eus-gaap--ConvertiblePreferredSt"/>
            <w:bookmarkEnd w:id="426"/>
          </w:p>
        </w:tc>
        <w:tc>
          <w:tcPr>
            <w:tcW w:w="1276" w:type="dxa"/>
            <w:tcBorders/>
            <w:shd w:fill="FFFFFF" w:val="clear"/>
            <w:vAlign w:val="center"/>
          </w:tcPr>
          <w:p>
            <w:pPr>
              <w:pStyle w:val="TableContents"/>
              <w:bidi w:val="0"/>
              <w:spacing w:before="0" w:after="283"/>
              <w:jc w:val="right"/>
              <w:rPr/>
            </w:pPr>
            <w:r>
              <w:rPr/>
              <w:t>34,160,784</w:t>
            </w:r>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Capitalized dividends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791" w:type="dxa"/>
            <w:tcBorders/>
            <w:shd w:fill="CCEEFF" w:val="clear"/>
            <w:vAlign w:val="center"/>
          </w:tcPr>
          <w:p>
            <w:pPr>
              <w:pStyle w:val="TableContents"/>
              <w:bidi w:val="0"/>
              <w:spacing w:before="0" w:after="283"/>
              <w:jc w:val="right"/>
              <w:rPr/>
            </w:pPr>
            <w:bookmarkStart w:id="427" w:name="xdx_900_eus-gaap--PreferredStockParOrSta"/>
            <w:bookmarkEnd w:id="427"/>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080" w:type="dxa"/>
            <w:tcBorders/>
            <w:shd w:fill="CCEEFF" w:val="clear"/>
            <w:vAlign w:val="center"/>
          </w:tcPr>
          <w:p>
            <w:pPr>
              <w:pStyle w:val="TableContents"/>
              <w:bidi w:val="0"/>
              <w:spacing w:before="0" w:after="283"/>
              <w:jc w:val="right"/>
              <w:rPr/>
            </w:pPr>
            <w:bookmarkStart w:id="428" w:name="xdx_908_eus-gaap--PreferredStockSharesAu"/>
            <w:bookmarkEnd w:id="428"/>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1335" w:type="dxa"/>
            <w:tcBorders/>
            <w:shd w:fill="CCEEFF" w:val="clear"/>
            <w:vAlign w:val="center"/>
          </w:tcPr>
          <w:p>
            <w:pPr>
              <w:pStyle w:val="TableContents"/>
              <w:bidi w:val="0"/>
              <w:spacing w:before="0" w:after="283"/>
              <w:jc w:val="right"/>
              <w:rPr/>
            </w:pPr>
            <w:bookmarkStart w:id="429" w:name="xdx_900_eus-gaap--PreferredStockSharesOu"/>
            <w:bookmarkStart w:id="430" w:name="xdx_90A_eus-gaap--PreferredStockSharesIs"/>
            <w:bookmarkEnd w:id="429"/>
            <w:bookmarkEnd w:id="430"/>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bookmarkStart w:id="431" w:name="xdx_987_eus-gaap--PreferredStockValue_iI"/>
            <w:bookmarkEnd w:id="431"/>
          </w:p>
        </w:tc>
        <w:tc>
          <w:tcPr>
            <w:tcW w:w="801" w:type="dxa"/>
            <w:tcBorders/>
            <w:shd w:fill="CCEEFF" w:val="clear"/>
            <w:vAlign w:val="center"/>
          </w:tcPr>
          <w:p>
            <w:pPr>
              <w:pStyle w:val="TableContents"/>
              <w:bidi w:val="0"/>
              <w:spacing w:before="0" w:after="283"/>
              <w:jc w:val="right"/>
              <w:rPr/>
            </w:pPr>
            <w:r>
              <w:rPr/>
              <w:t>227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bookmarkStart w:id="432" w:name="xdx_987_eus-gaap--PreferredStockLiquidat"/>
            <w:bookmarkEnd w:id="432"/>
          </w:p>
        </w:tc>
        <w:tc>
          <w:tcPr>
            <w:tcW w:w="1012" w:type="dxa"/>
            <w:tcBorders/>
            <w:shd w:fill="CCEEFF" w:val="clear"/>
            <w:vAlign w:val="center"/>
          </w:tcPr>
          <w:p>
            <w:pPr>
              <w:pStyle w:val="TableContents"/>
              <w:bidi w:val="0"/>
              <w:spacing w:before="0" w:after="283"/>
              <w:jc w:val="right"/>
              <w:rPr/>
            </w:pPr>
            <w:r>
              <w:rPr/>
              <w:t>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bookmarkStart w:id="433" w:name="xdx_98A_eus-gaap--ConvertiblePreferredSt"/>
            <w:bookmarkEnd w:id="433"/>
          </w:p>
        </w:tc>
        <w:tc>
          <w:tcPr>
            <w:tcW w:w="1276" w:type="dxa"/>
            <w:tcBorders/>
            <w:shd w:fill="CCEEFF" w:val="clear"/>
            <w:vAlign w:val="center"/>
          </w:tcPr>
          <w:p>
            <w:pPr>
              <w:pStyle w:val="TableContents"/>
              <w:bidi w:val="0"/>
              <w:spacing w:before="0" w:after="283"/>
              <w:jc w:val="right"/>
              <w:rPr/>
            </w:pPr>
            <w:r>
              <w:rPr/>
              <w:t>516,967</w:t>
            </w:r>
          </w:p>
        </w:tc>
        <w:tc>
          <w:tcPr>
            <w:tcW w:w="8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Converted to common stock</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91"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34" w:name="xdx_90D_eus-gaap--PreferredStockParOrSta"/>
            <w:bookmarkEnd w:id="434"/>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80"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35" w:name="xdx_901_eus-gaap--PreferredStockSharesAu"/>
            <w:bookmarkEnd w:id="435"/>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35" w:type="dxa"/>
            <w:tcBorders>
              <w:bottom w:val="single" w:sz="8" w:space="0" w:color="000000"/>
            </w:tcBorders>
            <w:shd w:fill="FFFFFF" w:val="clear"/>
            <w:tcMar>
              <w:bottom w:w="28" w:type="dxa"/>
            </w:tcMar>
            <w:vAlign w:val="center"/>
          </w:tcPr>
          <w:p>
            <w:pPr>
              <w:pStyle w:val="TableContents"/>
              <w:bidi w:val="0"/>
              <w:spacing w:before="0" w:after="283"/>
              <w:jc w:val="right"/>
              <w:rPr/>
            </w:pPr>
            <w:bookmarkStart w:id="436" w:name="xdx_90D_eus-gaap--PreferredStockSharesOu"/>
            <w:bookmarkStart w:id="437" w:name="xdx_90A_eus-gaap--PreferredStockSharesIs"/>
            <w:bookmarkEnd w:id="436"/>
            <w:bookmarkEnd w:id="437"/>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38" w:name="xdx_985_eus-gaap--PreferredStockValue_iI"/>
            <w:bookmarkEnd w:id="438"/>
          </w:p>
        </w:tc>
        <w:tc>
          <w:tcPr>
            <w:tcW w:w="80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39" w:name="xdx_98E_eus-gaap--PreferredStockLiquidat"/>
            <w:bookmarkEnd w:id="439"/>
          </w:p>
        </w:tc>
        <w:tc>
          <w:tcPr>
            <w:tcW w:w="1012"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440" w:name="xdx_981_eus-gaap--ConvertiblePreferredSt"/>
            <w:bookmarkEnd w:id="440"/>
          </w:p>
        </w:tc>
        <w:tc>
          <w:tcPr>
            <w:tcW w:w="127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before="0" w:after="283"/>
              <w:jc w:val="left"/>
              <w:rPr/>
            </w:pPr>
            <w:r>
              <w:rPr/>
              <w:t>Balance at June 30, 2026</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91"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441" w:name="xdx_90A_eus-gaap--PreferredStockParOrSta"/>
            <w:bookmarkEnd w:id="441"/>
            <w:r>
              <w:rPr/>
              <w:t>0.0001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80"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442" w:name="xdx_907_eus-gaap--PreferredStockSharesAu"/>
            <w:bookmarkEnd w:id="442"/>
            <w:r>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35"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443" w:name="xdx_902_eus-gaap--PreferredStockSharesOu"/>
            <w:bookmarkStart w:id="444" w:name="xdx_90D_eus-gaap--PreferredStockSharesIs"/>
            <w:bookmarkEnd w:id="443"/>
            <w:bookmarkEnd w:id="444"/>
            <w:r>
              <w:rPr/>
              <w:t>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45" w:name="xdx_981_ecustom--PreferredStockCarryingV"/>
            <w:bookmarkEnd w:id="445"/>
          </w:p>
        </w:tc>
        <w:tc>
          <w:tcPr>
            <w:tcW w:w="801" w:type="dxa"/>
            <w:tcBorders>
              <w:bottom w:val="double" w:sz="6" w:space="0" w:color="000000"/>
            </w:tcBorders>
            <w:shd w:fill="CCEEFF" w:val="clear"/>
            <w:tcMar>
              <w:bottom w:w="28" w:type="dxa"/>
            </w:tcMar>
            <w:vAlign w:val="center"/>
          </w:tcPr>
          <w:p>
            <w:pPr>
              <w:pStyle w:val="TableContents"/>
              <w:bidi w:val="0"/>
              <w:spacing w:before="0" w:after="283"/>
              <w:jc w:val="right"/>
              <w:rPr/>
            </w:pPr>
            <w:r>
              <w:rPr/>
              <w:t>14,065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446" w:name="xdx_98B_eus-gaap--PreferredStockLiquidat"/>
            <w:bookmarkEnd w:id="446"/>
          </w:p>
        </w:tc>
        <w:tc>
          <w:tcPr>
            <w:tcW w:w="1012" w:type="dxa"/>
            <w:tcBorders>
              <w:bottom w:val="double" w:sz="6" w:space="0" w:color="000000"/>
            </w:tcBorders>
            <w:shd w:fill="CCEEFF" w:val="clear"/>
            <w:tcMar>
              <w:bottom w:w="28" w:type="dxa"/>
            </w:tcMar>
            <w:vAlign w:val="center"/>
          </w:tcPr>
          <w:p>
            <w:pPr>
              <w:pStyle w:val="TableContents"/>
              <w:bidi w:val="0"/>
              <w:spacing w:before="0" w:after="283"/>
              <w:jc w:val="right"/>
              <w:rPr/>
            </w:pPr>
            <w:r>
              <w:rPr/>
              <w:t>16,750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447" w:name="xdx_980_eus-gaap--ConvertiblePreferredSt"/>
            <w:bookmarkEnd w:id="447"/>
          </w:p>
        </w:tc>
        <w:tc>
          <w:tcPr>
            <w:tcW w:w="1276" w:type="dxa"/>
            <w:tcBorders>
              <w:bottom w:val="double" w:sz="6" w:space="0" w:color="000000"/>
            </w:tcBorders>
            <w:shd w:fill="CCEEFF" w:val="clear"/>
            <w:tcMar>
              <w:bottom w:w="28" w:type="dxa"/>
            </w:tcMar>
            <w:vAlign w:val="center"/>
          </w:tcPr>
          <w:p>
            <w:pPr>
              <w:pStyle w:val="TableContents"/>
              <w:bidi w:val="0"/>
              <w:spacing w:before="0" w:after="283"/>
              <w:jc w:val="right"/>
              <w:rPr/>
            </w:pPr>
            <w:r>
              <w:rPr/>
              <w:t>34,677,751</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448" w:name="xdx_8AD_zOFWlVW7Kuej"/>
      <w:bookmarkEnd w:id="448"/>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In April 2026, the Company sold and issued to accredited investors a total of </w:t>
      </w:r>
      <w:bookmarkStart w:id="449" w:name="xdx_909_eus-gaap--SaleOfStockNumberOfSha"/>
      <w:bookmarkEnd w:id="449"/>
      <w:r>
        <w:rPr>
          <w:rFonts w:ascii="Times New Roman;Times;Serif" w:hAnsi="Times New Roman;Times;Serif"/>
          <w:b w:val="false"/>
          <w:i w:val="false"/>
          <w:caps w:val="false"/>
          <w:smallCaps w:val="false"/>
          <w:sz w:val="20"/>
          <w:shd w:fill="FFFFFF" w:val="clear"/>
        </w:rPr>
        <w:t xml:space="preserve">15,000 shares of Series D preferred shares (which are convertible into </w:t>
      </w:r>
      <w:bookmarkStart w:id="450" w:name="xdx_905_eus-gaap--ConversionOfStockShare"/>
      <w:bookmarkEnd w:id="450"/>
      <w:r>
        <w:rPr>
          <w:rFonts w:ascii="Times New Roman;Times;Serif" w:hAnsi="Times New Roman;Times;Serif"/>
          <w:b w:val="false"/>
          <w:i w:val="false"/>
          <w:caps w:val="false"/>
          <w:smallCaps w:val="false"/>
          <w:sz w:val="20"/>
          <w:shd w:fill="FFFFFF" w:val="clear"/>
        </w:rPr>
        <w:t xml:space="preserve">34,160,784 shares of Common Stock, subject to adjustment) and Warrants to purchase up to </w:t>
      </w:r>
      <w:bookmarkStart w:id="451" w:name="xdx_905_eus-gaap--ClassOfWarrantOrRightN"/>
      <w:bookmarkEnd w:id="451"/>
      <w:r>
        <w:rPr>
          <w:rFonts w:ascii="Times New Roman;Times;Serif" w:hAnsi="Times New Roman;Times;Serif"/>
          <w:b w:val="false"/>
          <w:i w:val="false"/>
          <w:caps w:val="false"/>
          <w:smallCaps w:val="false"/>
          <w:sz w:val="20"/>
          <w:shd w:fill="FFFFFF" w:val="clear"/>
        </w:rPr>
        <w:t>17,080,392 shares of Common Stock (representing 50% warrant coverage on an as-converted basis) for total gross proceeds of $</w:t>
      </w:r>
      <w:bookmarkStart w:id="452" w:name="xdx_90A_eus-gaap--ProceedsFromIssuanceOf"/>
      <w:bookmarkEnd w:id="452"/>
      <w:r>
        <w:rPr>
          <w:rFonts w:ascii="Times New Roman;Times;Serif" w:hAnsi="Times New Roman;Times;Serif"/>
          <w:b w:val="false"/>
          <w:i w:val="false"/>
          <w:caps w:val="false"/>
          <w:smallCaps w:val="false"/>
          <w:sz w:val="20"/>
          <w:shd w:fill="FFFFFF" w:val="clear"/>
        </w:rPr>
        <w:t>15,000. The Company received net proceeds of $</w:t>
      </w:r>
      <w:bookmarkStart w:id="453" w:name="xdx_904_eus-gaap--ProceedsFromIssuanceOf"/>
      <w:bookmarkEnd w:id="453"/>
      <w:r>
        <w:rPr>
          <w:rFonts w:ascii="Times New Roman;Times;Serif" w:hAnsi="Times New Roman;Times;Serif"/>
          <w:b w:val="false"/>
          <w:i w:val="false"/>
          <w:caps w:val="false"/>
          <w:smallCaps w:val="false"/>
          <w:sz w:val="20"/>
          <w:shd w:fill="FFFFFF" w:val="clear"/>
        </w:rPr>
        <w:t>13,838 after deducting commissions and fees. The Company intends to use the net proceeds for working capital and general corporate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bookmarkStart w:id="454" w:name="xdx_239_zbJ4uCofTfC5"/>
      <w:bookmarkEnd w:id="454"/>
      <w:r>
        <w:rPr>
          <w:caps w:val="false"/>
          <w:smallCaps w:val="false"/>
        </w:rPr>
        <w:t> </w:t>
      </w:r>
    </w:p>
    <w:p>
      <w:pPr>
        <w:pStyle w:val="TextBody"/>
        <w:bidi w:val="0"/>
        <w:spacing w:before="0" w:after="0"/>
        <w:ind w:left="0" w:right="0" w:firstLine="360"/>
        <w:jc w:val="both"/>
        <w:rPr>
          <w:caps w:val="false"/>
          <w:smallCaps w:val="false"/>
        </w:rPr>
      </w:pPr>
      <w:bookmarkStart w:id="455" w:name="xdx_23B_zPbPwpWiEzp4"/>
      <w:bookmarkEnd w:id="455"/>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caps w:val="false"/>
          <w:smallCaps w:val="false"/>
        </w:rPr>
      </w:pPr>
      <w:bookmarkStart w:id="456" w:name="xdx_233_zWBsu50MbtI9"/>
      <w:bookmarkEnd w:id="456"/>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Each share of Series D Convertible Preferred Stock is convertible into </w:t>
      </w:r>
      <w:bookmarkStart w:id="457" w:name="xdx_90B_eus-gaap--ConversionOfStockShare"/>
      <w:bookmarkEnd w:id="457"/>
      <w:r>
        <w:rPr>
          <w:rFonts w:ascii="Times New Roman;Times;Serif" w:hAnsi="Times New Roman;Times;Serif"/>
          <w:b w:val="false"/>
          <w:i w:val="false"/>
          <w:caps w:val="false"/>
          <w:smallCaps w:val="false"/>
          <w:sz w:val="20"/>
          <w:shd w:fill="FFFFFF" w:val="clear"/>
        </w:rPr>
        <w:t>2,278 shares of Common Stock of the Company at the election of the holder, subject to certain adjustments and to beneficial ownership limitations. Each share of Series D Convertible Preferred Stock shall be entitled to vote with the Company’s Common Stock on an as-converted basis, subject to beneficial ownership limitations. The holders of Series D Convertible Preferred Stock shall rank senior to the holders of Common Stock and all other preferred stock with respect to any liquidation, dissolution or winding up of the Company. The Series D Convertible Preferred Stock is not redeemable.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In connection with the Offering, the Company paid the Placement Agents: (i) a cash fee equal to </w:t>
      </w:r>
      <w:bookmarkStart w:id="458" w:name="xdx_904_eus-gaap--DebtConversionConverte"/>
      <w:bookmarkEnd w:id="458"/>
      <w:r>
        <w:rPr>
          <w:rFonts w:ascii="Times New Roman;Times;Serif" w:hAnsi="Times New Roman;Times;Serif"/>
          <w:b w:val="false"/>
          <w:i w:val="false"/>
          <w:caps w:val="false"/>
          <w:smallCaps w:val="false"/>
          <w:sz w:val="20"/>
          <w:shd w:fill="FFFFFF" w:val="clear"/>
        </w:rPr>
        <w:t xml:space="preserve">6% of the gross proceeds received by the Company in the Offering, and (ii) issued them warrants to purchase </w:t>
      </w:r>
      <w:bookmarkStart w:id="459" w:name="xdx_907_eus-gaap--DebtConversionConverte"/>
      <w:bookmarkEnd w:id="459"/>
      <w:r>
        <w:rPr>
          <w:rFonts w:ascii="Times New Roman;Times;Serif" w:hAnsi="Times New Roman;Times;Serif"/>
          <w:b w:val="false"/>
          <w:i w:val="false"/>
          <w:caps w:val="false"/>
          <w:smallCaps w:val="false"/>
          <w:sz w:val="20"/>
          <w:shd w:fill="FFFFFF" w:val="clear"/>
        </w:rPr>
        <w:t>2% of the shares of Common Stock issuable upon conversion of the Series 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Holders of the Series D Convertible Preferred Stock are entitled to cumulative dividends at an annual rate of </w:t>
      </w:r>
      <w:bookmarkStart w:id="460" w:name="xdx_90A_eus-gaap--PreferredStockDividend"/>
      <w:bookmarkEnd w:id="460"/>
      <w:r>
        <w:rPr>
          <w:rFonts w:ascii="Times New Roman;Times;Serif" w:hAnsi="Times New Roman;Times;Serif"/>
          <w:b w:val="false"/>
          <w:i w:val="false"/>
          <w:caps w:val="false"/>
          <w:smallCaps w:val="false"/>
          <w:sz w:val="20"/>
        </w:rPr>
        <w:t>8% of the then-current stated value of the Series D Convertible Preferred Stock. Dividends are payable quarterly in arrears in shares of the Company’s Common Stock based on the applicable conversion price. At the Company’s election, all or a portion of a dividend may instead be capitalized by increasing the stated value of the Series D Convertible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Series D Convertible Preferred Stock Dividends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D Convertible Preferred Stock had an aggregate stated value of $</w:t>
      </w:r>
      <w:bookmarkStart w:id="461" w:name="xdx_90A_ecustom--PreferredStockStatedVal"/>
      <w:bookmarkEnd w:id="461"/>
      <w:r>
        <w:rPr>
          <w:rFonts w:ascii="Times New Roman;Times;Serif" w:hAnsi="Times New Roman;Times;Serif"/>
          <w:b w:val="false"/>
          <w:i w:val="false"/>
          <w:caps w:val="false"/>
          <w:smallCaps w:val="false"/>
          <w:sz w:val="20"/>
        </w:rPr>
        <w:t>15,000 when issued in April 2026. The Company incurred approximately $</w:t>
      </w:r>
      <w:bookmarkStart w:id="462" w:name="xdx_903_ecustom--PreferredStockIssuanceC"/>
      <w:bookmarkEnd w:id="462"/>
      <w:r>
        <w:rPr>
          <w:rFonts w:ascii="Times New Roman;Times;Serif" w:hAnsi="Times New Roman;Times;Serif"/>
          <w:b w:val="false"/>
          <w:i w:val="false"/>
          <w:caps w:val="false"/>
          <w:smallCaps w:val="false"/>
          <w:sz w:val="20"/>
        </w:rPr>
        <w:t>1,162 in issuance costs in connection with the offering, which were recorded as a reduction of additional paid-in capital. Accordingly, the net carrying amount attributable to the Series D Convertible Preferred Stock was approximately $</w:t>
      </w:r>
      <w:bookmarkStart w:id="463" w:name="xdx_905_eus-gaap--PreferredStockValue_iI"/>
      <w:bookmarkEnd w:id="463"/>
      <w:r>
        <w:rPr>
          <w:rFonts w:ascii="Times New Roman;Times;Serif" w:hAnsi="Times New Roman;Times;Serif"/>
          <w:b w:val="false"/>
          <w:i w:val="false"/>
          <w:caps w:val="false"/>
          <w:smallCaps w:val="false"/>
          <w:sz w:val="20"/>
        </w:rPr>
        <w:t>13,838 at the issuance date.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quarter ended June 30, 2026, the Company elected to capitalize the accrued dividend rather than issue shares of Common Stock. The prorated dividend from the issuance date through June 30, 2026 was approximately $</w:t>
      </w:r>
      <w:bookmarkStart w:id="464" w:name="xdx_90F_ecustom--PreferredStockCapitaliz"/>
      <w:bookmarkEnd w:id="464"/>
      <w:r>
        <w:rPr>
          <w:rFonts w:ascii="Times New Roman;Times;Serif" w:hAnsi="Times New Roman;Times;Serif"/>
          <w:b w:val="false"/>
          <w:i w:val="false"/>
          <w:caps w:val="false"/>
          <w:smallCaps w:val="false"/>
          <w:sz w:val="20"/>
        </w:rPr>
        <w:t>227. The capitalized dividend increased the aggregate stated value of the Series D Convertible Preferred Stock from $</w:t>
      </w:r>
      <w:bookmarkStart w:id="465" w:name="xdx_90A_ecustom--PreferredStockStatedVal"/>
      <w:bookmarkEnd w:id="465"/>
      <w:r>
        <w:rPr>
          <w:rFonts w:ascii="Times New Roman;Times;Serif" w:hAnsi="Times New Roman;Times;Serif"/>
          <w:b w:val="false"/>
          <w:i w:val="false"/>
          <w:caps w:val="false"/>
          <w:smallCaps w:val="false"/>
          <w:sz w:val="20"/>
        </w:rPr>
        <w:t>15,000 to $</w:t>
      </w:r>
      <w:bookmarkStart w:id="466" w:name="xdx_90A_ecustom--IncreasedPreferredStock"/>
      <w:bookmarkEnd w:id="466"/>
      <w:r>
        <w:rPr>
          <w:rFonts w:ascii="Times New Roman;Times;Serif" w:hAnsi="Times New Roman;Times;Serif"/>
          <w:b w:val="false"/>
          <w:i w:val="false"/>
          <w:caps w:val="false"/>
          <w:smallCaps w:val="false"/>
          <w:sz w:val="20"/>
        </w:rPr>
        <w:t xml:space="preserve">15,227. </w:t>
      </w:r>
      <w:bookmarkStart w:id="467" w:name="xdx_908_eus-gaap--DividendsPreferredStoc"/>
      <w:bookmarkEnd w:id="467"/>
      <w:r>
        <w:rPr>
          <w:rFonts w:ascii="Times New Roman;Times;Serif" w:hAnsi="Times New Roman;Times;Serif"/>
          <w:b w:val="false"/>
          <w:i w:val="false"/>
          <w:caps w:val="false"/>
          <w:smallCaps w:val="false"/>
          <w:sz w:val="20"/>
        </w:rPr>
        <w:t xml:space="preserve">No cash was paid, and </w:t>
      </w:r>
      <w:bookmarkStart w:id="468" w:name="xdx_905_eus-gaap--SharesIssued_iI_pip0_d"/>
      <w:bookmarkEnd w:id="468"/>
      <w:r>
        <w:rPr>
          <w:rFonts w:ascii="Times New Roman;Times;Serif" w:hAnsi="Times New Roman;Times;Serif"/>
          <w:b w:val="false"/>
          <w:i w:val="false"/>
          <w:caps w:val="false"/>
          <w:smallCaps w:val="false"/>
          <w:sz w:val="20"/>
        </w:rPr>
        <w:t>no additional shares of Common Stock or Series D Convertible Preferred Stock were issued.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stated value, carrying amount and liquidation preference of the Series D Convertible Preferred Stock were as follows:</w:t>
      </w:r>
    </w:p>
    <w:p>
      <w:pPr>
        <w:pStyle w:val="Normal"/>
        <w:bidi w:val="0"/>
        <w:spacing w:before="0" w:after="0"/>
        <w:jc w:val="left"/>
        <w:rPr>
          <w:sz w:val="4"/>
          <w:szCs w:val="4"/>
        </w:rPr>
      </w:pPr>
      <w:r>
        <w:rPr>
          <w:sz w:val="4"/>
          <w:szCs w:val="4"/>
        </w:rPr>
      </w:r>
      <w:bookmarkStart w:id="469" w:name="xdx_89F_eus-gaap--ScheduleOfStockByClass"/>
      <w:bookmarkStart w:id="470" w:name="xdx_89F_eus-gaap--ScheduleOfStockByClass"/>
      <w:bookmarkEnd w:id="470"/>
    </w:p>
    <w:tbl>
      <w:tblPr>
        <w:tblW w:w="6329" w:type="dxa"/>
        <w:jc w:val="left"/>
        <w:tblInd w:w="0" w:type="dxa"/>
        <w:tblLayout w:type="fixed"/>
        <w:tblCellMar>
          <w:top w:w="0" w:type="dxa"/>
          <w:left w:w="0" w:type="dxa"/>
          <w:bottom w:w="0" w:type="dxa"/>
          <w:right w:w="0" w:type="dxa"/>
        </w:tblCellMar>
      </w:tblPr>
      <w:tblGrid>
        <w:gridCol w:w="5285"/>
        <w:gridCol w:w="60"/>
        <w:gridCol w:w="149"/>
        <w:gridCol w:w="725"/>
        <w:gridCol w:w="110"/>
      </w:tblGrid>
      <w:tr>
        <w:trPr/>
        <w:tc>
          <w:tcPr>
            <w:tcW w:w="5285" w:type="dxa"/>
            <w:tcBorders/>
            <w:vAlign w:val="center"/>
          </w:tcPr>
          <w:p>
            <w:pPr>
              <w:pStyle w:val="TableContents"/>
              <w:bidi w:val="0"/>
              <w:spacing w:before="0" w:after="283"/>
              <w:jc w:val="left"/>
              <w:rPr/>
            </w:pPr>
            <w:bookmarkStart w:id="471" w:name="xdx_8BB_zRo5VmWA0zQ"/>
            <w:bookmarkEnd w:id="471"/>
            <w:r>
              <w:rPr/>
              <w:t>Schedule of carrying amount and liquidation preference</w:t>
            </w:r>
          </w:p>
        </w:tc>
        <w:tc>
          <w:tcPr>
            <w:tcW w:w="60" w:type="dxa"/>
            <w:tcBorders/>
            <w:vAlign w:val="center"/>
          </w:tcPr>
          <w:p>
            <w:pPr>
              <w:pStyle w:val="TableContents"/>
              <w:bidi w:val="0"/>
              <w:spacing w:before="0" w:after="283"/>
              <w:jc w:val="left"/>
              <w:rPr/>
            </w:pPr>
            <w:r>
              <w:rPr/>
              <w:t> </w:t>
            </w:r>
            <w:bookmarkStart w:id="472" w:name="xdx_496_20260630__us-gaap--StatementClas"/>
            <w:bookmarkEnd w:id="472"/>
          </w:p>
        </w:tc>
        <w:tc>
          <w:tcPr>
            <w:tcW w:w="874" w:type="dxa"/>
            <w:gridSpan w:val="2"/>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110" w:type="dxa"/>
            <w:tcBorders/>
            <w:vAlign w:val="center"/>
          </w:tcPr>
          <w:p>
            <w:pPr>
              <w:pStyle w:val="TableContents"/>
              <w:bidi w:val="0"/>
              <w:spacing w:before="0" w:after="283"/>
              <w:jc w:val="left"/>
              <w:rPr/>
            </w:pPr>
            <w:r>
              <w:rPr/>
              <w:t> </w:t>
            </w:r>
            <w:bookmarkStart w:id="473" w:name="xdx_408_ecustom--PreferredStockStatedVal"/>
            <w:bookmarkEnd w:id="473"/>
          </w:p>
        </w:tc>
      </w:tr>
      <w:tr>
        <w:trPr/>
        <w:tc>
          <w:tcPr>
            <w:tcW w:w="5285" w:type="dxa"/>
            <w:tcBorders/>
            <w:shd w:fill="CCEEFF" w:val="clear"/>
            <w:vAlign w:val="center"/>
          </w:tcPr>
          <w:p>
            <w:pPr>
              <w:pStyle w:val="TableContents"/>
              <w:bidi w:val="0"/>
              <w:spacing w:before="0" w:after="283"/>
              <w:jc w:val="left"/>
              <w:rPr/>
            </w:pPr>
            <w:r>
              <w:rPr/>
              <w:t>Original aggregate stated value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w:t>
            </w:r>
          </w:p>
        </w:tc>
        <w:tc>
          <w:tcPr>
            <w:tcW w:w="725" w:type="dxa"/>
            <w:tcBorders/>
            <w:shd w:fill="CCEEFF" w:val="clear"/>
            <w:vAlign w:val="center"/>
          </w:tcPr>
          <w:p>
            <w:pPr>
              <w:pStyle w:val="TableContents"/>
              <w:bidi w:val="0"/>
              <w:spacing w:before="0" w:after="283"/>
              <w:jc w:val="right"/>
              <w:rPr/>
            </w:pPr>
            <w:r>
              <w:rPr/>
              <w:t>15,000</w:t>
            </w:r>
          </w:p>
        </w:tc>
        <w:tc>
          <w:tcPr>
            <w:tcW w:w="110" w:type="dxa"/>
            <w:tcBorders/>
            <w:shd w:fill="CCEEFF" w:val="clear"/>
            <w:vAlign w:val="center"/>
          </w:tcPr>
          <w:p>
            <w:pPr>
              <w:pStyle w:val="TableContents"/>
              <w:bidi w:val="0"/>
              <w:spacing w:before="0" w:after="283"/>
              <w:jc w:val="left"/>
              <w:rPr/>
            </w:pPr>
            <w:r>
              <w:rPr/>
              <w:t> </w:t>
            </w:r>
            <w:bookmarkStart w:id="474" w:name="xdx_402_ecustom--PreferredStockCapitaliz"/>
            <w:bookmarkEnd w:id="474"/>
          </w:p>
        </w:tc>
      </w:tr>
      <w:tr>
        <w:trPr/>
        <w:tc>
          <w:tcPr>
            <w:tcW w:w="5285" w:type="dxa"/>
            <w:tcBorders/>
            <w:shd w:fill="FFFFFF" w:val="clear"/>
            <w:vAlign w:val="center"/>
          </w:tcPr>
          <w:p>
            <w:pPr>
              <w:pStyle w:val="TableContents"/>
              <w:bidi w:val="0"/>
              <w:spacing w:before="0" w:after="283"/>
              <w:jc w:val="left"/>
              <w:rPr/>
            </w:pPr>
            <w:r>
              <w:rPr/>
              <w:t>Capitalized dividend</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pPr>
            <w:r>
              <w:rPr/>
              <w:t>227</w:t>
            </w:r>
          </w:p>
        </w:tc>
        <w:tc>
          <w:tcPr>
            <w:tcW w:w="110" w:type="dxa"/>
            <w:tcBorders/>
            <w:shd w:fill="FFFFFF" w:val="clear"/>
            <w:vAlign w:val="center"/>
          </w:tcPr>
          <w:p>
            <w:pPr>
              <w:pStyle w:val="TableContents"/>
              <w:bidi w:val="0"/>
              <w:spacing w:before="0" w:after="283"/>
              <w:jc w:val="left"/>
              <w:rPr/>
            </w:pPr>
            <w:r>
              <w:rPr/>
              <w:t> </w:t>
            </w:r>
            <w:bookmarkStart w:id="475" w:name="xdx_40E_ecustom--PreferredStockAggregate"/>
            <w:bookmarkEnd w:id="475"/>
          </w:p>
        </w:tc>
      </w:tr>
      <w:tr>
        <w:trPr/>
        <w:tc>
          <w:tcPr>
            <w:tcW w:w="5285" w:type="dxa"/>
            <w:tcBorders/>
            <w:shd w:fill="CCEEFF" w:val="clear"/>
            <w:vAlign w:val="center"/>
          </w:tcPr>
          <w:p>
            <w:pPr>
              <w:pStyle w:val="TableContents"/>
              <w:bidi w:val="0"/>
              <w:spacing w:before="0" w:after="283"/>
              <w:jc w:val="left"/>
              <w:rPr>
                <w:b/>
              </w:rPr>
            </w:pPr>
            <w:r>
              <w:rPr>
                <w:b/>
              </w:rPr>
              <w:t>Ending aggregate stated value</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725" w:type="dxa"/>
            <w:tcBorders/>
            <w:shd w:fill="CCEEFF" w:val="clear"/>
            <w:vAlign w:val="center"/>
          </w:tcPr>
          <w:p>
            <w:pPr>
              <w:pStyle w:val="TableContents"/>
              <w:bidi w:val="0"/>
              <w:spacing w:before="0" w:after="283"/>
              <w:jc w:val="right"/>
              <w:rPr/>
            </w:pPr>
            <w:r>
              <w:rPr/>
              <w:t>15,227</w:t>
            </w:r>
          </w:p>
        </w:tc>
        <w:tc>
          <w:tcPr>
            <w:tcW w:w="110" w:type="dxa"/>
            <w:tcBorders/>
            <w:shd w:fill="CCEEFF" w:val="clear"/>
            <w:vAlign w:val="center"/>
          </w:tcPr>
          <w:p>
            <w:pPr>
              <w:pStyle w:val="TableContents"/>
              <w:bidi w:val="0"/>
              <w:spacing w:before="0" w:after="283"/>
              <w:jc w:val="left"/>
              <w:rPr/>
            </w:pPr>
            <w:r>
              <w:rPr/>
              <w:t> </w:t>
            </w:r>
            <w:bookmarkStart w:id="476" w:name="xdx_406_ecustom--PreferredStockIssuanceC"/>
            <w:bookmarkEnd w:id="476"/>
          </w:p>
        </w:tc>
      </w:tr>
      <w:tr>
        <w:trPr/>
        <w:tc>
          <w:tcPr>
            <w:tcW w:w="5285" w:type="dxa"/>
            <w:tcBorders/>
            <w:shd w:fill="FFFFFF" w:val="clear"/>
            <w:vAlign w:val="center"/>
          </w:tcPr>
          <w:p>
            <w:pPr>
              <w:pStyle w:val="TableContents"/>
              <w:bidi w:val="0"/>
              <w:spacing w:before="0" w:after="283"/>
              <w:jc w:val="left"/>
              <w:rPr/>
            </w:pPr>
            <w:r>
              <w:rPr/>
              <w:t>Less: issuance costs</w:t>
            </w:r>
          </w:p>
        </w:tc>
        <w:tc>
          <w:tcPr>
            <w:tcW w:w="60" w:type="dxa"/>
            <w:tcBorders/>
            <w:shd w:fill="FFFFFF" w:val="clear"/>
            <w:vAlign w:val="center"/>
          </w:tcPr>
          <w:p>
            <w:pPr>
              <w:pStyle w:val="TableContents"/>
              <w:bidi w:val="0"/>
              <w:spacing w:before="0" w:after="283"/>
              <w:jc w:val="left"/>
              <w:rPr/>
            </w:pPr>
            <w:r>
              <w:rPr/>
              <w:t> </w:t>
            </w:r>
          </w:p>
        </w:tc>
        <w:tc>
          <w:tcPr>
            <w:tcW w:w="14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FFFFFF" w:val="clear"/>
            <w:tcMar>
              <w:bottom w:w="28" w:type="dxa"/>
            </w:tcMar>
            <w:vAlign w:val="center"/>
          </w:tcPr>
          <w:p>
            <w:pPr>
              <w:pStyle w:val="TableContents"/>
              <w:bidi w:val="0"/>
              <w:spacing w:before="0" w:after="283"/>
              <w:jc w:val="right"/>
              <w:rPr/>
            </w:pPr>
            <w:r>
              <w:rPr/>
              <w:t>(1,162</w:t>
            </w:r>
          </w:p>
        </w:tc>
        <w:tc>
          <w:tcPr>
            <w:tcW w:w="110" w:type="dxa"/>
            <w:tcBorders/>
            <w:shd w:fill="FFFFFF" w:val="clear"/>
            <w:vAlign w:val="center"/>
          </w:tcPr>
          <w:p>
            <w:pPr>
              <w:pStyle w:val="TableContents"/>
              <w:bidi w:val="0"/>
              <w:spacing w:before="0" w:after="283"/>
              <w:jc w:val="left"/>
              <w:rPr/>
            </w:pPr>
            <w:r>
              <w:rPr/>
              <w:t>)</w:t>
            </w:r>
            <w:bookmarkStart w:id="477" w:name="xdx_404_ecustom--PreferredStockCarryingV"/>
            <w:bookmarkEnd w:id="477"/>
          </w:p>
        </w:tc>
      </w:tr>
      <w:tr>
        <w:trPr/>
        <w:tc>
          <w:tcPr>
            <w:tcW w:w="5285" w:type="dxa"/>
            <w:tcBorders/>
            <w:shd w:fill="CCEEFF" w:val="clear"/>
            <w:vAlign w:val="center"/>
          </w:tcPr>
          <w:p>
            <w:pPr>
              <w:pStyle w:val="TableContents"/>
              <w:bidi w:val="0"/>
              <w:spacing w:before="0" w:after="283"/>
              <w:jc w:val="left"/>
              <w:rPr>
                <w:b/>
              </w:rPr>
            </w:pPr>
            <w:r>
              <w:rPr>
                <w:b/>
              </w:rPr>
              <w:t>Ending carrying amount</w:t>
            </w:r>
          </w:p>
        </w:tc>
        <w:tc>
          <w:tcPr>
            <w:tcW w:w="60" w:type="dxa"/>
            <w:tcBorders/>
            <w:shd w:fill="CCEEFF" w:val="clear"/>
            <w:vAlign w:val="center"/>
          </w:tcPr>
          <w:p>
            <w:pPr>
              <w:pStyle w:val="TableContents"/>
              <w:bidi w:val="0"/>
              <w:spacing w:before="0" w:after="283"/>
              <w:jc w:val="left"/>
              <w:rPr/>
            </w:pPr>
            <w:r>
              <w:rPr/>
              <w:t> </w:t>
            </w:r>
          </w:p>
        </w:tc>
        <w:tc>
          <w:tcPr>
            <w:tcW w:w="14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25" w:type="dxa"/>
            <w:tcBorders>
              <w:bottom w:val="single" w:sz="8" w:space="0" w:color="000000"/>
            </w:tcBorders>
            <w:shd w:fill="CCEEFF" w:val="clear"/>
            <w:tcMar>
              <w:bottom w:w="28" w:type="dxa"/>
            </w:tcMar>
            <w:vAlign w:val="center"/>
          </w:tcPr>
          <w:p>
            <w:pPr>
              <w:pStyle w:val="TableContents"/>
              <w:bidi w:val="0"/>
              <w:spacing w:before="0" w:after="283"/>
              <w:jc w:val="right"/>
              <w:rPr/>
            </w:pPr>
            <w:r>
              <w:rPr/>
              <w:t>14,065</w:t>
            </w:r>
          </w:p>
        </w:tc>
        <w:tc>
          <w:tcPr>
            <w:tcW w:w="110" w:type="dxa"/>
            <w:tcBorders/>
            <w:shd w:fill="CCEEFF" w:val="clear"/>
            <w:vAlign w:val="center"/>
          </w:tcPr>
          <w:p>
            <w:pPr>
              <w:pStyle w:val="TableContents"/>
              <w:bidi w:val="0"/>
              <w:spacing w:before="0" w:after="283"/>
              <w:jc w:val="left"/>
              <w:rPr/>
            </w:pPr>
            <w:r>
              <w:rPr/>
              <w:t> </w:t>
            </w:r>
            <w:bookmarkStart w:id="478" w:name="xdx_40F_eus-gaap--PreferredStockLiquidat"/>
            <w:bookmarkEnd w:id="478"/>
          </w:p>
        </w:tc>
      </w:tr>
      <w:tr>
        <w:trPr/>
        <w:tc>
          <w:tcPr>
            <w:tcW w:w="5285" w:type="dxa"/>
            <w:tcBorders/>
            <w:shd w:fill="FFFFFF" w:val="clear"/>
            <w:vAlign w:val="center"/>
          </w:tcPr>
          <w:p>
            <w:pPr>
              <w:pStyle w:val="TableContents"/>
              <w:bidi w:val="0"/>
              <w:spacing w:before="0" w:after="283"/>
              <w:jc w:val="left"/>
              <w:rPr/>
            </w:pPr>
            <w:r>
              <w:rPr/>
              <w:t>Minimum liquidation preference, 110% of stated value</w:t>
            </w:r>
          </w:p>
        </w:tc>
        <w:tc>
          <w:tcPr>
            <w:tcW w:w="60" w:type="dxa"/>
            <w:tcBorders/>
            <w:shd w:fill="FFFFFF" w:val="cle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25" w:type="dxa"/>
            <w:tcBorders>
              <w:bottom w:val="double" w:sz="6" w:space="0" w:color="000000"/>
            </w:tcBorders>
            <w:shd w:fill="FFFFFF" w:val="clear"/>
            <w:tcMar>
              <w:bottom w:w="28" w:type="dxa"/>
            </w:tcMar>
            <w:vAlign w:val="center"/>
          </w:tcPr>
          <w:p>
            <w:pPr>
              <w:pStyle w:val="TableContents"/>
              <w:bidi w:val="0"/>
              <w:spacing w:before="0" w:after="283"/>
              <w:jc w:val="right"/>
              <w:rPr/>
            </w:pPr>
            <w:r>
              <w:rPr/>
              <w:t>16,750</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360"/>
        <w:jc w:val="left"/>
        <w:rPr>
          <w:caps w:val="false"/>
          <w:smallCaps w:val="false"/>
        </w:rPr>
      </w:pPr>
      <w:bookmarkStart w:id="479" w:name="xdx_8AB_z1SX8Y3m7cP"/>
      <w:bookmarkEnd w:id="479"/>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Series D Convertible Preferred Stock, upon a liquidation event, holders are entitled to receive, before any distribution to holders of Common Stock or junior securities, an amount equal to the greater of (i) 110% of the then-current stated value and (ii) the amount the holders would have received had the Series D Convertible Preferred Stock been converted into Common Stock immediately before the liquidation event. Accordingly, the minimum aggregate liquidation preference as of June 30, 2026 was approximately $</w:t>
      </w:r>
      <w:bookmarkStart w:id="480" w:name="xdx_90A_eus-gaap--PreferredStockLiquidat"/>
      <w:bookmarkEnd w:id="480"/>
      <w:r>
        <w:rPr>
          <w:rFonts w:ascii="Times New Roman;Times;Serif" w:hAnsi="Times New Roman;Times;Serif"/>
          <w:b w:val="false"/>
          <w:i w:val="false"/>
          <w:caps w:val="false"/>
          <w:smallCaps w:val="false"/>
          <w:sz w:val="20"/>
        </w:rPr>
        <w:t>16,750. The actual liquidation preference could be greater depending on the value of the consideration payable to holders of Common Stock in the applicable liquidation event.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bookmarkStart w:id="481" w:name="xdx_237_z6zSaF6S6aSc"/>
      <w:bookmarkEnd w:id="481"/>
      <w:r>
        <w:rPr>
          <w:caps w:val="false"/>
          <w:smallCaps w:val="false"/>
        </w:rPr>
        <w:t> </w:t>
      </w:r>
    </w:p>
    <w:p>
      <w:pPr>
        <w:pStyle w:val="TextBody"/>
        <w:bidi w:val="0"/>
        <w:spacing w:before="0" w:after="0"/>
        <w:ind w:left="0" w:right="0" w:firstLine="360"/>
        <w:jc w:val="both"/>
        <w:rPr>
          <w:caps w:val="false"/>
          <w:smallCaps w:val="false"/>
        </w:rPr>
      </w:pPr>
      <w:bookmarkStart w:id="482" w:name="xdx_236_zGKJXwifCiUj"/>
      <w:bookmarkEnd w:id="482"/>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caps w:val="false"/>
          <w:smallCaps w:val="false"/>
        </w:rPr>
      </w:pPr>
      <w:bookmarkStart w:id="483" w:name="xdx_233_zfT1O15OVFna"/>
      <w:bookmarkEnd w:id="483"/>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capitalized dividend was recorded as an increase to additional paid-in capital attributable to the Series D Convertible Preferred Stock and a corresponding increase to accumulated deficit. The dividend did not affect net loss, comprehensive loss or cash flows.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calculating basic and diluted net loss per share attributable to common stockholders, the $</w:t>
      </w:r>
      <w:bookmarkStart w:id="484" w:name="xdx_902_ecustom--PreferredStockCapitaliz"/>
      <w:bookmarkEnd w:id="484"/>
      <w:r>
        <w:rPr>
          <w:rFonts w:ascii="Times New Roman;Times;Serif" w:hAnsi="Times New Roman;Times;Serif"/>
          <w:b w:val="false"/>
          <w:i w:val="false"/>
          <w:caps w:val="false"/>
          <w:smallCaps w:val="false"/>
          <w:sz w:val="20"/>
        </w:rPr>
        <w:t>227 capitalized dividend was deducted from net loss. As a result, net loss attributable to common stockholders was approximately $</w:t>
      </w:r>
      <w:bookmarkStart w:id="485" w:name="xdx_90B_eus-gaap--NetIncomeLoss_pn3n3_c2"/>
      <w:bookmarkEnd w:id="485"/>
      <w:r>
        <w:rPr>
          <w:rFonts w:ascii="Times New Roman;Times;Serif" w:hAnsi="Times New Roman;Times;Serif"/>
          <w:b w:val="false"/>
          <w:i w:val="false"/>
          <w:caps w:val="false"/>
          <w:smallCaps w:val="false"/>
          <w:sz w:val="20"/>
        </w:rPr>
        <w:t>2,043 and $</w:t>
      </w:r>
      <w:bookmarkStart w:id="486" w:name="xdx_902_eus-gaap--NetIncomeLoss_pn3n3_c2"/>
      <w:bookmarkEnd w:id="486"/>
      <w:r>
        <w:rPr>
          <w:rFonts w:ascii="Times New Roman;Times;Serif" w:hAnsi="Times New Roman;Times;Serif"/>
          <w:b w:val="false"/>
          <w:i w:val="false"/>
          <w:caps w:val="false"/>
          <w:smallCaps w:val="false"/>
          <w:sz w:val="20"/>
        </w:rPr>
        <w:t>3,353 for the three and six months ended June 30, 2026, respectively. The dividend did not change the reported basic or diluted net loss per share after rounding, which remained $</w:t>
      </w:r>
      <w:bookmarkStart w:id="487" w:name="xdx_903_eus-gaap--EarningsPerShareDilute"/>
      <w:bookmarkStart w:id="488" w:name="xdx_900_eus-gaap--EarningsPerShareBasic_"/>
      <w:bookmarkEnd w:id="487"/>
      <w:bookmarkEnd w:id="488"/>
      <w:r>
        <w:rPr>
          <w:rFonts w:ascii="Times New Roman;Times;Serif" w:hAnsi="Times New Roman;Times;Serif"/>
          <w:b w:val="false"/>
          <w:i w:val="false"/>
          <w:caps w:val="false"/>
          <w:smallCaps w:val="false"/>
          <w:sz w:val="20"/>
        </w:rPr>
        <w:t>0.01 and $</w:t>
      </w:r>
      <w:bookmarkStart w:id="489" w:name="xdx_906_eus-gaap--EarningsPerShareDilute"/>
      <w:bookmarkStart w:id="490" w:name="xdx_905_eus-gaap--EarningsPerShareBasic_"/>
      <w:bookmarkEnd w:id="489"/>
      <w:bookmarkEnd w:id="490"/>
      <w:r>
        <w:rPr>
          <w:rFonts w:ascii="Times New Roman;Times;Serif" w:hAnsi="Times New Roman;Times;Serif"/>
          <w:b w:val="false"/>
          <w:i w:val="false"/>
          <w:caps w:val="false"/>
          <w:smallCaps w:val="false"/>
          <w:sz w:val="20"/>
        </w:rPr>
        <w:t>0.02 for the three-and six-month periods,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Liquidation and Deemed-Liquidation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D Convertible Preferred Stock has no fixed maturity date and does not provide the holders with a general right to require the Company to redeem the shares while the Company continues as a going concern. However, upon the occurrence of a Liquidation Event, each holder is entitled to receive, before any distribution is made to holders of Common Stock or other junior securities, cash from the assets of the Company legally available for distribution in an amount equal to the greater of (i) 110% of the then-current stated value of the holder’s Series D Convertible Preferred Stock and (ii) the amount the holder would have been entitled to receive had the Series D Convertible Preferred Stock been converted into Common Stock immediately before the Liquidation Event. A holder may elect to receive Common Stock, based on the then-current conversion rate, in lieu of cash.</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Liquidation Event includes a voluntary or involuntary liquidation, dissolution or winding up of the Company and certain merger, consolidation or other transactions after which the Company’s pre-transaction stockholders own less than 50% of the equity or voting power of the surviving entity, subject to the financing-transaction exception contained in the Certificate of Designations.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Equity Classification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evaluated the Series D Convertible Preferred Stock under ASC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ASC 480-10-S99-3A, </w:t>
      </w:r>
      <w:r>
        <w:rPr>
          <w:rFonts w:ascii="Times New Roman;Times;Serif" w:hAnsi="Times New Roman;Times;Serif"/>
          <w:b w:val="false"/>
          <w:i/>
          <w:caps w:val="false"/>
          <w:smallCaps w:val="false"/>
          <w:sz w:val="20"/>
        </w:rPr>
        <w:t>Classification and Measurement of Redeemable Securities</w:t>
      </w:r>
      <w:r>
        <w:rPr>
          <w:rFonts w:ascii="Times New Roman;Times;Serif" w:hAnsi="Times New Roman;Times;Serif"/>
          <w:b w:val="false"/>
          <w:i w:val="false"/>
          <w:caps w:val="false"/>
          <w:smallCaps w:val="false"/>
          <w:sz w:val="20"/>
        </w:rPr>
        <w:t>. The Series D Convertible Preferred Stock is not mandatorily redeemable because it has no fixed redemption date, does not provide the holders with a general right to require redemption and does not otherwise contain an unconditional obligation requiring the Company to transfer cash or other assets. Accordingly, the Series D Convertible Preferred Stock is not classified as a liability under ASC 480.</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classification within permanent stockholders’ equity is appropriate. The cash preference payable upon an actual liquidation, dissolution or winding up represents an ordinary liquidation preference and does not require temporary-equity classification. In addition, a merger or consolidation that would constitute a deemed Liquidation Event requires substantive approval by the Company’s Board of Directors. The Board may withhold its approval and the holders of the Series D Convertible Preferred Stock do not control the Board or otherwise have the contractual ability to compel the Company to enter into such a transaction. Accordingly, the deemed-liquidation event is within the Company’s control for purposes of ASC 480-10-S99-3A. The Series D Convertible Preferred Stock is therefore classified within permanent stockholders’ equity, and the Company does not accrete its carrying amount to the 110% liquidation preference. The Company will reassess the classification if the relevant contractual, governance or control circumstances change.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bookmarkStart w:id="491" w:name="xdx_23B_zMX1C22zEgl8"/>
      <w:bookmarkEnd w:id="491"/>
      <w:r>
        <w:rPr>
          <w:caps w:val="false"/>
          <w:smallCaps w:val="false"/>
        </w:rPr>
        <w:t> </w:t>
      </w:r>
    </w:p>
    <w:p>
      <w:pPr>
        <w:pStyle w:val="TextBody"/>
        <w:bidi w:val="0"/>
        <w:spacing w:before="0" w:after="0"/>
        <w:ind w:left="0" w:right="0" w:firstLine="360"/>
        <w:jc w:val="both"/>
        <w:rPr>
          <w:caps w:val="false"/>
          <w:smallCaps w:val="false"/>
        </w:rPr>
      </w:pPr>
      <w:bookmarkStart w:id="492" w:name="xdx_235_zgNiw19WlNz8"/>
      <w:bookmarkEnd w:id="492"/>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caps w:val="false"/>
          <w:smallCaps w:val="false"/>
        </w:rPr>
      </w:pPr>
      <w:bookmarkStart w:id="493" w:name="xdx_238_zykLxTOfRAG3"/>
      <w:bookmarkEnd w:id="49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494" w:name="xdx_804_eus-gaap--StockholdersEquityNote"/>
      <w:bookmarkEnd w:id="494"/>
      <w:r>
        <w:rPr>
          <w:rFonts w:ascii="Times New Roman;Times;Serif" w:hAnsi="Times New Roman;Times;Serif"/>
          <w:b/>
          <w:i w:val="false"/>
          <w:caps w:val="false"/>
          <w:smallCaps w:val="false"/>
          <w:sz w:val="20"/>
        </w:rPr>
        <w:t xml:space="preserve">7. </w:t>
      </w:r>
      <w:bookmarkStart w:id="495" w:name="xdx_825_zKVffNJQhiDg"/>
      <w:bookmarkEnd w:id="495"/>
      <w:r>
        <w:rPr>
          <w:rFonts w:ascii="Times New Roman;Times;Serif" w:hAnsi="Times New Roman;Times;Serif"/>
          <w:b/>
          <w:i w:val="false"/>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and December 31, 2025, the Company had authorized </w:t>
      </w:r>
      <w:bookmarkStart w:id="496" w:name="xdx_903_eus-gaap--CommonStockSharesAutho"/>
      <w:bookmarkStart w:id="497" w:name="xdx_903_eus-gaap--CommonStockSharesAutho"/>
      <w:bookmarkEnd w:id="496"/>
      <w:bookmarkEnd w:id="497"/>
      <w:r>
        <w:rPr>
          <w:rFonts w:ascii="Times New Roman;Times;Serif" w:hAnsi="Times New Roman;Times;Serif"/>
          <w:b w:val="false"/>
          <w:i w:val="false"/>
          <w:caps w:val="false"/>
          <w:smallCaps w:val="false"/>
          <w:sz w:val="20"/>
        </w:rPr>
        <w:t>600,000,000 shares of $</w:t>
      </w:r>
      <w:bookmarkStart w:id="498" w:name="xdx_90F_eus-gaap--CommonStockParOrStated"/>
      <w:bookmarkStart w:id="499" w:name="xdx_90E_eus-gaap--CommonStockParOrStated"/>
      <w:bookmarkEnd w:id="498"/>
      <w:bookmarkEnd w:id="499"/>
      <w:r>
        <w:rPr>
          <w:rFonts w:ascii="Times New Roman;Times;Serif" w:hAnsi="Times New Roman;Times;Serif"/>
          <w:b w:val="false"/>
          <w:i w:val="false"/>
          <w:caps w:val="false"/>
          <w:smallCaps w:val="false"/>
          <w:sz w:val="20"/>
        </w:rPr>
        <w:t>0.0001 par value Common Stock. Each share of Common Stock entitles the holder to one vote, together with the holders of the Series C and Series D Convertible Preferred Stock (on an as-converted basis), on all matters submitted to the stockholders for a vote. The holders of Common Stock are entitled to receive dividends, if any, as declared by the Company’s Board of Directors.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Company’s certificate of incorporation, the Company’s Board of Directors is authorized to direct the Company, without any action or vote by its stockholders (except as may be provided by the terms of any class or series of Company preferred stock then outstanding), to issue shares of preferred stock in one or more series without the approval of the Company’s stockholders. The Company’s Board of Directors has the discretion to determine the rights, powers, preferences, privileges and restrictions, including voting rights, dividend rights, conversion rights, redemption privileges and liquidation preferences, of each series of preferred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2026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7, 2026, the Company issued a total of </w:t>
      </w:r>
      <w:bookmarkStart w:id="500" w:name="xdx_90F_eus-gaap--StockIssuedDuringPerio"/>
      <w:bookmarkEnd w:id="500"/>
      <w:r>
        <w:rPr>
          <w:rFonts w:ascii="Times New Roman;Times;Serif" w:hAnsi="Times New Roman;Times;Serif"/>
          <w:b w:val="false"/>
          <w:i w:val="false"/>
          <w:caps w:val="false"/>
          <w:smallCaps w:val="false"/>
          <w:sz w:val="20"/>
        </w:rPr>
        <w:t>15,000,000 shares of Common Stock pursuant to the automatic conversion of shares of Series A Convertible Preferred Stock upon completion of certain trigger events.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30, 2026, the Company issued </w:t>
      </w:r>
      <w:bookmarkStart w:id="501" w:name="xdx_900_eus-gaap--StockIssuedDuringPerio"/>
      <w:bookmarkEnd w:id="501"/>
      <w:r>
        <w:rPr>
          <w:rFonts w:ascii="Times New Roman;Times;Serif" w:hAnsi="Times New Roman;Times;Serif"/>
          <w:b w:val="false"/>
          <w:i w:val="false"/>
          <w:caps w:val="false"/>
          <w:smallCaps w:val="false"/>
          <w:sz w:val="20"/>
        </w:rPr>
        <w:t>10,415 shares of the Company’s Common Stock pursuant to a stock option exercise, resulting in net proceeds of $</w:t>
      </w:r>
      <w:bookmarkStart w:id="502" w:name="xdx_907_eus-gaap--StockIssuedDuringPerio"/>
      <w:bookmarkEnd w:id="502"/>
      <w:r>
        <w:rPr>
          <w:rFonts w:ascii="Times New Roman;Times;Serif" w:hAnsi="Times New Roman;Times;Serif"/>
          <w:b w:val="false"/>
          <w:i w:val="false"/>
          <w:caps w:val="false"/>
          <w:smallCaps w:val="false"/>
          <w:sz w:val="20"/>
        </w:rPr>
        <w:t>1 to the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2025 Activity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total of </w:t>
      </w:r>
      <w:bookmarkStart w:id="503" w:name="xdx_905_eus-gaap--ShareBasedCompensation"/>
      <w:bookmarkEnd w:id="503"/>
      <w:r>
        <w:rPr>
          <w:rFonts w:ascii="Times New Roman;Times;Serif" w:hAnsi="Times New Roman;Times;Serif"/>
          <w:b w:val="false"/>
          <w:i w:val="false"/>
          <w:caps w:val="false"/>
          <w:smallCaps w:val="false"/>
          <w:sz w:val="20"/>
        </w:rPr>
        <w:t>25,000 restricted stock units vested during the three months ended March 31, 2025, and the corresponding shares were issued upon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Consent Agreement</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the Company entered into Consent Agreement with Sandia under which Sandia waived certain rights and existing defaults under the Senior Secured Note agreement related to the issuance of Convertible Promissory Notes. The Company issued </w:t>
      </w:r>
      <w:bookmarkStart w:id="504" w:name="xdx_904_eus-gaap--StockIssuedDuringPerio"/>
      <w:bookmarkEnd w:id="504"/>
      <w:r>
        <w:rPr>
          <w:rFonts w:ascii="Times New Roman;Times;Serif" w:hAnsi="Times New Roman;Times;Serif"/>
          <w:b w:val="false"/>
          <w:i w:val="false"/>
          <w:caps w:val="false"/>
          <w:smallCaps w:val="false"/>
          <w:sz w:val="20"/>
        </w:rPr>
        <w:t>34,000,000 shares of common stock in exchange for such waiver.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Unvested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closing on March 28, 2024 of the business combination with Andretti Acquisition Corp. (“AAC”), </w:t>
      </w:r>
      <w:bookmarkStart w:id="505" w:name="xdx_903_eus-gaap--SharebasedCompensation"/>
      <w:bookmarkEnd w:id="505"/>
      <w:r>
        <w:rPr>
          <w:rFonts w:ascii="Times New Roman;Times;Serif" w:hAnsi="Times New Roman;Times;Serif"/>
          <w:b w:val="false"/>
          <w:i w:val="false"/>
          <w:caps w:val="false"/>
          <w:smallCaps w:val="false"/>
          <w:sz w:val="20"/>
        </w:rPr>
        <w:t>1,129,630 shares of Sponsor Shares became unvested and are subject to the forfeiture pursuant to the available cash provisions as described in the sponsor support agreement in contemplation of the Merger. All of the Unvested Shares will become vested if, within three years of the closing, the volume-weighted average price of the Company’s Common Stock equals or exceeds $</w:t>
      </w:r>
      <w:bookmarkStart w:id="506" w:name="xdx_90D_eus-gaap--ShareBasedCompensation"/>
      <w:bookmarkEnd w:id="506"/>
      <w:r>
        <w:rPr>
          <w:rFonts w:ascii="Times New Roman;Times;Serif" w:hAnsi="Times New Roman;Times;Serif"/>
          <w:b w:val="false"/>
          <w:i w:val="false"/>
          <w:caps w:val="false"/>
          <w:smallCaps w:val="false"/>
          <w:sz w:val="20"/>
        </w:rPr>
        <w:t xml:space="preserve">12.00 per share (as adjusted for stock splits, stock dividends, reorganizations and recapitalizations) for any </w:t>
      </w:r>
      <w:bookmarkStart w:id="507" w:name="xdx_90B_eus-gaap--DebtInstrumentConverti"/>
      <w:bookmarkEnd w:id="507"/>
      <w:r>
        <w:rPr>
          <w:rFonts w:ascii="Times New Roman;Times;Serif" w:hAnsi="Times New Roman;Times;Serif"/>
          <w:b w:val="false"/>
          <w:i w:val="false"/>
          <w:caps w:val="false"/>
          <w:smallCaps w:val="false"/>
          <w:sz w:val="20"/>
        </w:rPr>
        <w:t xml:space="preserve">20 trading days within any </w:t>
      </w:r>
      <w:bookmarkStart w:id="508" w:name="xdx_902_eus-gaap--DebtInstrumentConverti"/>
      <w:bookmarkEnd w:id="508"/>
      <w:r>
        <w:rPr>
          <w:rFonts w:ascii="Times New Roman;Times;Serif" w:hAnsi="Times New Roman;Times;Serif"/>
          <w:b w:val="false"/>
          <w:i w:val="false"/>
          <w:caps w:val="false"/>
          <w:smallCaps w:val="false"/>
          <w:sz w:val="20"/>
        </w:rPr>
        <w:t xml:space="preserve">30-trading day period, or if there is a change of control of the Company. If neither of these events occur within three years of the closing, then the Unvested Shares will be forfeited and shall be transferred by the sponsor and the sponsor co-investor to the Company, without any consideration for such transfer. The Unvested Shares are indexed to the Company’s own stock and are therefore classified as equity in the Company’s consolidated financial statements. </w:t>
      </w:r>
      <w:bookmarkStart w:id="509" w:name="xdx_90D_eus-gaap--SharebasedCompensation"/>
      <w:bookmarkStart w:id="510" w:name="xdx_907_eus-gaap--SharebasedCompensation"/>
      <w:bookmarkEnd w:id="509"/>
      <w:bookmarkEnd w:id="510"/>
      <w:r>
        <w:rPr>
          <w:rFonts w:ascii="Times New Roman;Times;Serif" w:hAnsi="Times New Roman;Times;Serif"/>
          <w:b w:val="false"/>
          <w:i w:val="false"/>
          <w:caps w:val="false"/>
          <w:smallCaps w:val="false"/>
          <w:sz w:val="20"/>
        </w:rPr>
        <w:t>No Unvested Shares vested during the six months ended June 30, 2026 or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bookmarkStart w:id="511" w:name="xdx_230_zGQwjLyGe61e"/>
      <w:bookmarkEnd w:id="511"/>
      <w:r>
        <w:rPr>
          <w:caps w:val="false"/>
          <w:smallCaps w:val="false"/>
        </w:rPr>
        <w:t> </w:t>
      </w:r>
    </w:p>
    <w:p>
      <w:pPr>
        <w:pStyle w:val="TextBody"/>
        <w:bidi w:val="0"/>
        <w:spacing w:before="0" w:after="0"/>
        <w:ind w:left="0" w:right="0" w:firstLine="360"/>
        <w:jc w:val="both"/>
        <w:rPr>
          <w:caps w:val="false"/>
          <w:smallCaps w:val="false"/>
        </w:rPr>
      </w:pPr>
      <w:bookmarkStart w:id="512" w:name="xdx_239_zFPJ6Bf4x16e"/>
      <w:bookmarkEnd w:id="512"/>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caps w:val="false"/>
          <w:smallCaps w:val="false"/>
        </w:rPr>
      </w:pPr>
      <w:bookmarkStart w:id="513" w:name="xdx_233_zA8d7abwuta9"/>
      <w:bookmarkEnd w:id="513"/>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14" w:name="xdx_80B_ecustom--WarrantsTextBlock_z9wEp"/>
      <w:bookmarkEnd w:id="514"/>
      <w:r>
        <w:rPr>
          <w:rFonts w:ascii="Times New Roman;Times;Serif" w:hAnsi="Times New Roman;Times;Serif"/>
          <w:b/>
          <w:i w:val="false"/>
          <w:caps w:val="false"/>
          <w:smallCaps w:val="false"/>
          <w:sz w:val="20"/>
        </w:rPr>
        <w:t xml:space="preserve">8. </w:t>
      </w:r>
      <w:bookmarkStart w:id="515" w:name="xdx_82B_zf6rmhBsmj7j"/>
      <w:bookmarkEnd w:id="515"/>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activity during the six months ended June 30, 2026 is as follows:</w:t>
      </w:r>
    </w:p>
    <w:p>
      <w:pPr>
        <w:pStyle w:val="Normal"/>
        <w:bidi w:val="0"/>
        <w:spacing w:before="0" w:after="0"/>
        <w:jc w:val="left"/>
        <w:rPr>
          <w:sz w:val="4"/>
          <w:szCs w:val="4"/>
        </w:rPr>
      </w:pPr>
      <w:r>
        <w:rPr>
          <w:sz w:val="4"/>
          <w:szCs w:val="4"/>
        </w:rPr>
      </w:r>
      <w:bookmarkStart w:id="516" w:name="xdx_893_eus-gaap--ScheduleOfStockholders"/>
      <w:bookmarkStart w:id="517" w:name="xdx_893_eus-gaap--ScheduleOfStockholders"/>
      <w:bookmarkEnd w:id="517"/>
    </w:p>
    <w:tbl>
      <w:tblPr>
        <w:tblW w:w="10205" w:type="dxa"/>
        <w:jc w:val="left"/>
        <w:tblInd w:w="0" w:type="dxa"/>
        <w:tblLayout w:type="fixed"/>
        <w:tblCellMar>
          <w:top w:w="0" w:type="dxa"/>
          <w:left w:w="0" w:type="dxa"/>
          <w:bottom w:w="0" w:type="dxa"/>
          <w:right w:w="0" w:type="dxa"/>
        </w:tblCellMar>
      </w:tblPr>
      <w:tblGrid>
        <w:gridCol w:w="3833"/>
        <w:gridCol w:w="60"/>
        <w:gridCol w:w="60"/>
        <w:gridCol w:w="1100"/>
        <w:gridCol w:w="60"/>
        <w:gridCol w:w="60"/>
        <w:gridCol w:w="232"/>
        <w:gridCol w:w="1134"/>
        <w:gridCol w:w="60"/>
        <w:gridCol w:w="60"/>
        <w:gridCol w:w="231"/>
        <w:gridCol w:w="1694"/>
        <w:gridCol w:w="60"/>
        <w:gridCol w:w="60"/>
        <w:gridCol w:w="242"/>
        <w:gridCol w:w="1181"/>
        <w:gridCol w:w="78"/>
      </w:tblGrid>
      <w:tr>
        <w:trPr/>
        <w:tc>
          <w:tcPr>
            <w:tcW w:w="3833" w:type="dxa"/>
            <w:tcBorders/>
            <w:vAlign w:val="center"/>
          </w:tcPr>
          <w:p>
            <w:pPr>
              <w:pStyle w:val="TableContents"/>
              <w:bidi w:val="0"/>
              <w:spacing w:before="0" w:after="283"/>
              <w:jc w:val="left"/>
              <w:rPr/>
            </w:pPr>
            <w:bookmarkStart w:id="518" w:name="xdx_8BB_zbCTPvyt9Hhb"/>
            <w:bookmarkEnd w:id="518"/>
            <w:r>
              <w:rPr/>
              <w:t>Schedule of warrant activity</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6"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3" w:type="dxa"/>
            <w:gridSpan w:val="2"/>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left"/>
              <w:rPr/>
            </w:pPr>
            <w:r>
              <w:rPr/>
              <w:t> </w:t>
            </w:r>
          </w:p>
        </w:tc>
      </w:tr>
      <w:tr>
        <w:trPr/>
        <w:tc>
          <w:tcPr>
            <w:tcW w:w="383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w:t>
              <w:br/>
              <w:t>Remaining</w:t>
              <w:br/>
              <w:t>Contractual Term</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w:t>
              <w:br/>
              <w:t>Intrinsic Value</w:t>
            </w:r>
          </w:p>
        </w:tc>
        <w:tc>
          <w:tcPr>
            <w:tcW w:w="78" w:type="dxa"/>
            <w:tcBorders/>
            <w:vAlign w:val="center"/>
          </w:tcPr>
          <w:p>
            <w:pPr>
              <w:pStyle w:val="TableContents"/>
              <w:bidi w:val="0"/>
              <w:spacing w:before="0" w:after="283"/>
              <w:jc w:val="left"/>
              <w:rPr/>
            </w:pPr>
            <w:r>
              <w:rPr/>
              <w:t> </w:t>
            </w:r>
          </w:p>
        </w:tc>
      </w:tr>
      <w:tr>
        <w:trPr/>
        <w:tc>
          <w:tcPr>
            <w:tcW w:w="3833"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19" w:name="xdx_980_eus-gaap--ShareBasedCompensation"/>
            <w:bookmarkEnd w:id="519"/>
          </w:p>
        </w:tc>
        <w:tc>
          <w:tcPr>
            <w:tcW w:w="1100" w:type="dxa"/>
            <w:tcBorders/>
            <w:shd w:fill="CCEEFF" w:val="clear"/>
            <w:vAlign w:val="center"/>
          </w:tcPr>
          <w:p>
            <w:pPr>
              <w:pStyle w:val="TableContents"/>
              <w:bidi w:val="0"/>
              <w:spacing w:before="0" w:after="283"/>
              <w:jc w:val="right"/>
              <w:rPr/>
            </w:pPr>
            <w:r>
              <w:rPr/>
              <w:t>67,299,982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bookmarkStart w:id="520" w:name="xdx_98B_ecustom--ShareBasedCompensationA"/>
            <w:bookmarkEnd w:id="520"/>
          </w:p>
        </w:tc>
        <w:tc>
          <w:tcPr>
            <w:tcW w:w="1134" w:type="dxa"/>
            <w:tcBorders/>
            <w:shd w:fill="CCEEFF" w:val="clear"/>
            <w:vAlign w:val="center"/>
          </w:tcPr>
          <w:p>
            <w:pPr>
              <w:pStyle w:val="TableContents"/>
              <w:bidi w:val="0"/>
              <w:spacing w:before="0" w:after="283"/>
              <w:jc w:val="right"/>
              <w:rPr/>
            </w:pPr>
            <w:r>
              <w:rPr/>
              <w:t>4.31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bookmarkStart w:id="521" w:name="xdx_900_eus-gaap--ShareBasedCompensation"/>
            <w:bookmarkEnd w:id="521"/>
            <w:r>
              <w:rPr/>
              <w:t>3.97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bookmarkStart w:id="522" w:name="xdx_982_eus-gaap--SharebasedCompensation"/>
            <w:bookmarkEnd w:id="522"/>
          </w:p>
        </w:tc>
        <w:tc>
          <w:tcPr>
            <w:tcW w:w="1181" w:type="dxa"/>
            <w:tcBorders/>
            <w:shd w:fill="CCEEFF" w:val="clear"/>
            <w:vAlign w:val="center"/>
          </w:tcPr>
          <w:p>
            <w:pPr>
              <w:pStyle w:val="TableContents"/>
              <w:bidi w:val="0"/>
              <w:spacing w:before="0" w:after="283"/>
              <w:jc w:val="right"/>
              <w:rPr/>
            </w:pPr>
            <w:r>
              <w:rPr/>
              <w:t>65,096</w:t>
            </w:r>
          </w:p>
        </w:tc>
        <w:tc>
          <w:tcPr>
            <w:tcW w:w="78" w:type="dxa"/>
            <w:tcBorders/>
            <w:shd w:fill="CCEEFF" w:val="clear"/>
            <w:vAlign w:val="center"/>
          </w:tcPr>
          <w:p>
            <w:pPr>
              <w:pStyle w:val="TableContents"/>
              <w:bidi w:val="0"/>
              <w:spacing w:before="0" w:after="283"/>
              <w:jc w:val="left"/>
              <w:rPr/>
            </w:pPr>
            <w:r>
              <w:rPr/>
              <w:t> </w:t>
            </w:r>
          </w:p>
        </w:tc>
      </w:tr>
      <w:tr>
        <w:trPr/>
        <w:tc>
          <w:tcPr>
            <w:tcW w:w="3833"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23" w:name="xdx_98C_eus-gaap--ShareBasedCompensation"/>
            <w:bookmarkEnd w:id="523"/>
          </w:p>
        </w:tc>
        <w:tc>
          <w:tcPr>
            <w:tcW w:w="1100" w:type="dxa"/>
            <w:tcBorders/>
            <w:shd w:fill="FFFFFF" w:val="clear"/>
            <w:vAlign w:val="center"/>
          </w:tcPr>
          <w:p>
            <w:pPr>
              <w:pStyle w:val="TableContents"/>
              <w:bidi w:val="0"/>
              <w:spacing w:before="0" w:after="283"/>
              <w:jc w:val="right"/>
              <w:rPr/>
            </w:pPr>
            <w:r>
              <w:rPr/>
              <w:t>17,763,605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bookmarkStart w:id="524" w:name="xdx_98F_eus-gaap--ShareBasedCompensation"/>
            <w:bookmarkEnd w:id="524"/>
          </w:p>
        </w:tc>
        <w:tc>
          <w:tcPr>
            <w:tcW w:w="1134" w:type="dxa"/>
            <w:tcBorders/>
            <w:shd w:fill="FFFFFF" w:val="clear"/>
            <w:vAlign w:val="center"/>
          </w:tcPr>
          <w:p>
            <w:pPr>
              <w:pStyle w:val="TableContents"/>
              <w:bidi w:val="0"/>
              <w:spacing w:before="0" w:after="283"/>
              <w:jc w:val="right"/>
              <w:rPr/>
            </w:pPr>
            <w:r>
              <w:rPr/>
              <w:t>0.4391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6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181"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3833"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25" w:name="xdx_98C_eus-gaap--ShareBasedCompensation"/>
            <w:bookmarkEnd w:id="525"/>
          </w:p>
        </w:tc>
        <w:tc>
          <w:tcPr>
            <w:tcW w:w="110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bookmarkStart w:id="526" w:name="xdx_988_ecustom--ShareBasedCompensationA"/>
            <w:bookmarkEnd w:id="526"/>
          </w:p>
        </w:tc>
        <w:tc>
          <w:tcPr>
            <w:tcW w:w="113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181"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3833" w:type="dxa"/>
            <w:tcBorders/>
            <w:shd w:fill="FFFFFF" w:val="clear"/>
            <w:vAlign w:val="center"/>
          </w:tcPr>
          <w:p>
            <w:pPr>
              <w:pStyle w:val="TableContents"/>
              <w:bidi w:val="0"/>
              <w:spacing w:before="0" w:after="283"/>
              <w:jc w:val="left"/>
              <w:rPr/>
            </w:pPr>
            <w:r>
              <w:rPr/>
              <w:t>Forfeited and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7" w:name="xdx_98B_eus-gaap--ShareBasedCompensation"/>
            <w:bookmarkEnd w:id="527"/>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28" w:name="xdx_988_eus-gaap--ShareBasedCompensation"/>
            <w:bookmarkEnd w:id="528"/>
          </w:p>
        </w:tc>
        <w:tc>
          <w:tcPr>
            <w:tcW w:w="113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1"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3833" w:type="dxa"/>
            <w:tcBorders/>
            <w:shd w:fill="CCEEFF" w:val="clear"/>
            <w:vAlign w:val="center"/>
          </w:tcPr>
          <w:p>
            <w:pPr>
              <w:pStyle w:val="TableContents"/>
              <w:bidi w:val="0"/>
              <w:spacing w:before="0" w:after="283"/>
              <w:jc w:val="left"/>
              <w:rPr/>
            </w:pPr>
            <w:r>
              <w:rPr/>
              <w:t>Balance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29" w:name="xdx_988_eus-gaap--ShareBasedCompensation"/>
            <w:bookmarkEnd w:id="529"/>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85,063,587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30" w:name="xdx_98F_ecustom--ShareBasedCompensationA"/>
            <w:bookmarkEnd w:id="530"/>
          </w:p>
        </w:tc>
        <w:tc>
          <w:tcPr>
            <w:tcW w:w="1134" w:type="dxa"/>
            <w:tcBorders>
              <w:bottom w:val="double" w:sz="6" w:space="0" w:color="000000"/>
            </w:tcBorders>
            <w:shd w:fill="CCEEFF" w:val="clear"/>
            <w:tcMar>
              <w:bottom w:w="28" w:type="dxa"/>
            </w:tcMar>
            <w:vAlign w:val="center"/>
          </w:tcPr>
          <w:p>
            <w:pPr>
              <w:pStyle w:val="TableContents"/>
              <w:bidi w:val="0"/>
              <w:spacing w:before="0" w:after="283"/>
              <w:jc w:val="right"/>
              <w:rPr/>
            </w:pPr>
            <w:r>
              <w:rPr/>
              <w:t>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94"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531" w:name="xdx_905_eus-gaap--ShareBasedCompensation"/>
            <w:bookmarkEnd w:id="531"/>
            <w:r>
              <w:rPr/>
              <w:t>4.28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bookmarkStart w:id="532" w:name="xdx_982_eus-gaap--SharebasedCompensation"/>
            <w:bookmarkEnd w:id="532"/>
          </w:p>
        </w:tc>
        <w:tc>
          <w:tcPr>
            <w:tcW w:w="1181" w:type="dxa"/>
            <w:tcBorders>
              <w:bottom w:val="double" w:sz="6" w:space="0" w:color="000000"/>
            </w:tcBorders>
            <w:shd w:fill="CCEEFF" w:val="clear"/>
            <w:tcMar>
              <w:bottom w:w="28" w:type="dxa"/>
            </w:tcMar>
            <w:vAlign w:val="center"/>
          </w:tcPr>
          <w:p>
            <w:pPr>
              <w:pStyle w:val="TableContents"/>
              <w:bidi w:val="0"/>
              <w:spacing w:before="0" w:after="283"/>
              <w:jc w:val="right"/>
              <w:rPr/>
            </w:pPr>
            <w:r>
              <w:rPr/>
              <w:t>76,217</w:t>
            </w:r>
          </w:p>
        </w:tc>
        <w:tc>
          <w:tcPr>
            <w:tcW w:w="78" w:type="dxa"/>
            <w:tcBorders/>
            <w:shd w:fill="CCEEFF" w:val="clear"/>
            <w:vAlign w:val="center"/>
          </w:tcPr>
          <w:p>
            <w:pPr>
              <w:pStyle w:val="TableContents"/>
              <w:bidi w:val="0"/>
              <w:spacing w:before="0" w:after="283"/>
              <w:ind w:left="0" w:right="0" w:hanging="200"/>
              <w:jc w:val="left"/>
              <w:rPr/>
            </w:pPr>
            <w:r>
              <w:rPr/>
              <w:t> </w:t>
            </w:r>
          </w:p>
        </w:tc>
      </w:tr>
      <w:tr>
        <w:trPr/>
        <w:tc>
          <w:tcPr>
            <w:tcW w:w="3833" w:type="dxa"/>
            <w:tcBorders/>
            <w:shd w:fill="FFFFFF" w:val="clear"/>
            <w:vAlign w:val="center"/>
          </w:tcPr>
          <w:p>
            <w:pPr>
              <w:pStyle w:val="TableContents"/>
              <w:bidi w:val="0"/>
              <w:spacing w:before="0" w:after="283"/>
              <w:jc w:val="left"/>
              <w:rPr/>
            </w:pPr>
            <w:r>
              <w:rPr/>
              <w:t>Warrants vested and exercisable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33" w:name="xdx_981_ecustom--ShareBasedCompensationA"/>
            <w:bookmarkEnd w:id="533"/>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84,163,587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34" w:name="xdx_98B_ecustom--ShareBasedCompensationA"/>
            <w:bookmarkEnd w:id="534"/>
          </w:p>
        </w:tc>
        <w:tc>
          <w:tcPr>
            <w:tcW w:w="1134" w:type="dxa"/>
            <w:tcBorders>
              <w:bottom w:val="double" w:sz="6" w:space="0" w:color="000000"/>
            </w:tcBorders>
            <w:shd w:fill="FFFFFF" w:val="clear"/>
            <w:tcMar>
              <w:bottom w:w="28" w:type="dxa"/>
            </w:tcMar>
            <w:vAlign w:val="center"/>
          </w:tcPr>
          <w:p>
            <w:pPr>
              <w:pStyle w:val="TableContents"/>
              <w:bidi w:val="0"/>
              <w:spacing w:before="0" w:after="283"/>
              <w:jc w:val="right"/>
              <w:rPr/>
            </w:pPr>
            <w:r>
              <w:rPr/>
              <w:t>3.50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535" w:name="xdx_901_eus-gaap--SharebasedCompensation"/>
            <w:bookmarkEnd w:id="535"/>
            <w:r>
              <w:rPr/>
              <w:t>4.28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36" w:name="xdx_989_ecustom--ShareBasedCompensationA"/>
            <w:bookmarkEnd w:id="536"/>
          </w:p>
        </w:tc>
        <w:tc>
          <w:tcPr>
            <w:tcW w:w="1181" w:type="dxa"/>
            <w:tcBorders>
              <w:bottom w:val="double" w:sz="6" w:space="0" w:color="000000"/>
            </w:tcBorders>
            <w:shd w:fill="FFFFFF" w:val="clear"/>
            <w:tcMar>
              <w:bottom w:w="28" w:type="dxa"/>
            </w:tcMar>
            <w:vAlign w:val="center"/>
          </w:tcPr>
          <w:p>
            <w:pPr>
              <w:pStyle w:val="TableContents"/>
              <w:bidi w:val="0"/>
              <w:spacing w:before="0" w:after="283"/>
              <w:jc w:val="right"/>
              <w:rPr/>
            </w:pPr>
            <w:r>
              <w:rPr/>
              <w:t>75,074</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08"/>
        <w:jc w:val="left"/>
        <w:rPr>
          <w:caps w:val="false"/>
          <w:smallCaps w:val="false"/>
        </w:rPr>
      </w:pPr>
      <w:bookmarkStart w:id="537" w:name="xdx_8AD_zxztnytpLKd5"/>
      <w:bookmarkEnd w:id="537"/>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22, 2026, the Company issued </w:t>
      </w:r>
      <w:bookmarkStart w:id="538" w:name="xdx_90A_eus-gaap--ClassOfWarrantOrRightN"/>
      <w:bookmarkEnd w:id="538"/>
      <w:r>
        <w:rPr>
          <w:rFonts w:ascii="Times New Roman;Times;Serif" w:hAnsi="Times New Roman;Times;Serif"/>
          <w:b w:val="false"/>
          <w:i w:val="false"/>
          <w:caps w:val="false"/>
          <w:smallCaps w:val="false"/>
          <w:sz w:val="20"/>
        </w:rPr>
        <w:t xml:space="preserve">17,080,392 warrants to investors to purchase shares of common stock in connection with the issuance of the Series D Convertible Preferred Stock and </w:t>
      </w:r>
      <w:bookmarkStart w:id="539" w:name="xdx_906_eus-gaap--ClassOfWarrantOrRightN"/>
      <w:bookmarkEnd w:id="539"/>
      <w:r>
        <w:rPr>
          <w:rFonts w:ascii="Times New Roman;Times;Serif" w:hAnsi="Times New Roman;Times;Serif"/>
          <w:b w:val="false"/>
          <w:i w:val="false"/>
          <w:caps w:val="false"/>
          <w:smallCaps w:val="false"/>
          <w:sz w:val="20"/>
        </w:rPr>
        <w:t>683,213 warrants to the Company’s placement agents. The warrants have an initial exercise price of $</w:t>
      </w:r>
      <w:bookmarkStart w:id="540" w:name="xdx_902_eus-gaap--ClassOfWarrantOrRightE"/>
      <w:bookmarkEnd w:id="540"/>
      <w:r>
        <w:rPr>
          <w:rFonts w:ascii="Times New Roman;Times;Serif" w:hAnsi="Times New Roman;Times;Serif"/>
          <w:b w:val="false"/>
          <w:i w:val="false"/>
          <w:caps w:val="false"/>
          <w:smallCaps w:val="false"/>
          <w:sz w:val="20"/>
        </w:rPr>
        <w:t>0.4391 per share, subject to adjustment, and may be exercised for cash or, under certain circumstances, on a cashless basis, and expire on October 19, 2033. The Company evaluated the warrants under ASC 480 and ASC 815-40 and determined that the warrants are equity-classified instruments. The warrants are not mandatorily redeemable, do not require net cash settlement, and are indexed to the Company’s own common stock. Although the warrants contain certain anti-dilution adjustment provisions, including adjustments upon certain dilutive issuances, the Company concluded that such provisions do not preclude equity classification. Accordingly, the warrants are classified as equity, and their fair value was measured using the Black-Scholes option-pricing model. The fair value of the warrants on the date of issuance was immaterial and will not be remeasured in subsequent periods.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fair market value of $</w:t>
      </w:r>
      <w:bookmarkStart w:id="541" w:name="xdx_90B_eus-gaap--ShareBasedCompensation"/>
      <w:bookmarkEnd w:id="541"/>
      <w:r>
        <w:rPr>
          <w:rFonts w:ascii="Times New Roman;Times;Serif" w:hAnsi="Times New Roman;Times;Serif"/>
          <w:b w:val="false"/>
          <w:i w:val="false"/>
          <w:caps w:val="false"/>
          <w:smallCaps w:val="false"/>
          <w:sz w:val="20"/>
        </w:rPr>
        <w:t>1.27 per share on June 30, 2026, the intrinsic value attributed to exercisable and unexercised Common Stock warrants was $</w:t>
      </w:r>
      <w:bookmarkStart w:id="542" w:name="xdx_909_ecustom--SharebasedCompensationA"/>
      <w:bookmarkEnd w:id="542"/>
      <w:r>
        <w:rPr>
          <w:rFonts w:ascii="Times New Roman;Times;Serif" w:hAnsi="Times New Roman;Times;Serif"/>
          <w:b w:val="false"/>
          <w:i w:val="false"/>
          <w:caps w:val="false"/>
          <w:smallCaps w:val="false"/>
          <w:sz w:val="20"/>
        </w:rPr>
        <w:t>75,074 at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June 30, 2026, there was </w:t>
      </w:r>
      <w:bookmarkStart w:id="543" w:name="xdx_909_eus-gaap--EmployeeServiceShareBa"/>
      <w:bookmarkEnd w:id="543"/>
      <w:r>
        <w:rPr>
          <w:rFonts w:ascii="Times New Roman;Times;Serif" w:hAnsi="Times New Roman;Times;Serif"/>
          <w:b w:val="false"/>
          <w:i w:val="false"/>
          <w:caps w:val="false"/>
          <w:smallCaps w:val="false"/>
          <w:sz w:val="20"/>
        </w:rPr>
        <w:t>no unrecognized compensation cost related to unvested warrants.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bookmarkStart w:id="544" w:name="xdx_23F_zJEQtYWZ20d2"/>
      <w:bookmarkEnd w:id="544"/>
      <w:r>
        <w:rPr>
          <w:caps w:val="false"/>
          <w:smallCaps w:val="false"/>
        </w:rPr>
        <w:t> </w:t>
      </w:r>
    </w:p>
    <w:p>
      <w:pPr>
        <w:pStyle w:val="TextBody"/>
        <w:bidi w:val="0"/>
        <w:spacing w:before="0" w:after="0"/>
        <w:ind w:left="0" w:right="0" w:firstLine="360"/>
        <w:jc w:val="both"/>
        <w:rPr>
          <w:caps w:val="false"/>
          <w:smallCaps w:val="false"/>
        </w:rPr>
      </w:pPr>
      <w:bookmarkStart w:id="545" w:name="xdx_23A_ziWMlbjdpc5e"/>
      <w:bookmarkEnd w:id="545"/>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360"/>
        <w:jc w:val="both"/>
        <w:rPr>
          <w:caps w:val="false"/>
          <w:smallCaps w:val="false"/>
        </w:rPr>
      </w:pPr>
      <w:bookmarkStart w:id="546" w:name="xdx_23E_zN1OfGbJs8q4"/>
      <w:bookmarkEnd w:id="546"/>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547" w:name="xdx_80E_eus-gaap--CompensationAndEmploye"/>
      <w:bookmarkEnd w:id="547"/>
      <w:r>
        <w:rPr>
          <w:rFonts w:ascii="Times New Roman;Times;Serif" w:hAnsi="Times New Roman;Times;Serif"/>
          <w:b/>
          <w:i w:val="false"/>
          <w:caps w:val="false"/>
          <w:smallCaps w:val="false"/>
          <w:sz w:val="20"/>
        </w:rPr>
        <w:t xml:space="preserve">9. </w:t>
      </w:r>
      <w:bookmarkStart w:id="548" w:name="xdx_82E_zegQTsFWQbtb"/>
      <w:bookmarkEnd w:id="548"/>
      <w:r>
        <w:rPr>
          <w:rFonts w:ascii="Times New Roman;Times;Serif" w:hAnsi="Times New Roman;Times;Serif"/>
          <w:b/>
          <w:i w:val="false"/>
          <w:caps w:val="false"/>
          <w:smallCaps w:val="false"/>
          <w:sz w:val="20"/>
        </w:rPr>
        <w:t>Compensation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during the six months ended June 30, 2026 is as follows: </w:t>
      </w:r>
    </w:p>
    <w:p>
      <w:pPr>
        <w:pStyle w:val="Normal"/>
        <w:bidi w:val="0"/>
        <w:spacing w:before="0" w:after="0"/>
        <w:jc w:val="left"/>
        <w:rPr>
          <w:sz w:val="4"/>
          <w:szCs w:val="4"/>
        </w:rPr>
      </w:pPr>
      <w:r>
        <w:rPr>
          <w:sz w:val="4"/>
          <w:szCs w:val="4"/>
        </w:rPr>
      </w:r>
      <w:bookmarkStart w:id="549" w:name="xdx_899_eus-gaap--ScheduleOfShareBasedCo"/>
      <w:bookmarkStart w:id="550" w:name="xdx_899_eus-gaap--ScheduleOfShareBasedCo"/>
      <w:bookmarkEnd w:id="550"/>
    </w:p>
    <w:tbl>
      <w:tblPr>
        <w:tblW w:w="10205" w:type="dxa"/>
        <w:jc w:val="left"/>
        <w:tblInd w:w="0" w:type="dxa"/>
        <w:tblLayout w:type="fixed"/>
        <w:tblCellMar>
          <w:top w:w="0" w:type="dxa"/>
          <w:left w:w="0" w:type="dxa"/>
          <w:bottom w:w="0" w:type="dxa"/>
          <w:right w:w="0" w:type="dxa"/>
        </w:tblCellMar>
      </w:tblPr>
      <w:tblGrid>
        <w:gridCol w:w="3789"/>
        <w:gridCol w:w="60"/>
        <w:gridCol w:w="60"/>
        <w:gridCol w:w="1100"/>
        <w:gridCol w:w="95"/>
        <w:gridCol w:w="60"/>
        <w:gridCol w:w="330"/>
        <w:gridCol w:w="1040"/>
        <w:gridCol w:w="60"/>
        <w:gridCol w:w="60"/>
        <w:gridCol w:w="231"/>
        <w:gridCol w:w="1694"/>
        <w:gridCol w:w="60"/>
        <w:gridCol w:w="60"/>
        <w:gridCol w:w="212"/>
        <w:gridCol w:w="1216"/>
        <w:gridCol w:w="78"/>
      </w:tblGrid>
      <w:tr>
        <w:trPr/>
        <w:tc>
          <w:tcPr>
            <w:tcW w:w="3789" w:type="dxa"/>
            <w:tcBorders/>
            <w:vAlign w:val="center"/>
          </w:tcPr>
          <w:p>
            <w:pPr>
              <w:pStyle w:val="TableContents"/>
              <w:bidi w:val="0"/>
              <w:spacing w:before="0" w:after="283"/>
              <w:jc w:val="left"/>
              <w:rPr/>
            </w:pPr>
            <w:bookmarkStart w:id="551" w:name="xdx_8B7_zjQzsCup9D02"/>
            <w:bookmarkEnd w:id="551"/>
            <w:r>
              <w:rPr/>
              <w:t>Schedule of stock option activity</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8" w:type="dxa"/>
            <w:gridSpan w:val="2"/>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left"/>
              <w:rPr/>
            </w:pPr>
            <w:r>
              <w:rPr/>
              <w:t> </w:t>
            </w:r>
          </w:p>
        </w:tc>
      </w:tr>
      <w:tr>
        <w:trPr/>
        <w:tc>
          <w:tcPr>
            <w:tcW w:w="378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Average</w:t>
              <w:br/>
              <w:t>Exercise Price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Weighted-Average</w:t>
              <w:br/>
              <w:t>Remaining</w:t>
              <w:br/>
              <w:t>Contractual Term</w:t>
              <w:b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2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Aggregate</w:t>
              <w:br/>
              <w:t>Intrinsic Value</w:t>
            </w:r>
          </w:p>
        </w:tc>
        <w:tc>
          <w:tcPr>
            <w:tcW w:w="78" w:type="dxa"/>
            <w:tcBorders/>
            <w:vAlign w:val="center"/>
          </w:tcPr>
          <w:p>
            <w:pPr>
              <w:pStyle w:val="TableContents"/>
              <w:bidi w:val="0"/>
              <w:spacing w:before="0" w:after="283"/>
              <w:jc w:val="left"/>
              <w:rPr/>
            </w:pPr>
            <w:r>
              <w:rPr/>
              <w:t> </w:t>
            </w:r>
          </w:p>
        </w:tc>
      </w:tr>
      <w:tr>
        <w:trPr/>
        <w:tc>
          <w:tcPr>
            <w:tcW w:w="3789" w:type="dxa"/>
            <w:tcBorders/>
            <w:shd w:fill="CCEEFF" w:val="clear"/>
            <w:vAlign w:val="center"/>
          </w:tcPr>
          <w:p>
            <w:pPr>
              <w:pStyle w:val="TableContents"/>
              <w:bidi w:val="0"/>
              <w:spacing w:before="0" w:after="283"/>
              <w:jc w:val="left"/>
              <w:rPr/>
            </w:pPr>
            <w:r>
              <w:rPr/>
              <w:t>Balance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52" w:name="xdx_98A_eus-gaap--ShareBasedCompensation"/>
            <w:bookmarkEnd w:id="552"/>
          </w:p>
        </w:tc>
        <w:tc>
          <w:tcPr>
            <w:tcW w:w="1100" w:type="dxa"/>
            <w:tcBorders/>
            <w:shd w:fill="CCEEFF" w:val="clear"/>
            <w:vAlign w:val="center"/>
          </w:tcPr>
          <w:p>
            <w:pPr>
              <w:pStyle w:val="TableContents"/>
              <w:bidi w:val="0"/>
              <w:spacing w:before="0" w:after="283"/>
              <w:jc w:val="right"/>
              <w:rPr/>
            </w:pPr>
            <w:r>
              <w:rPr/>
              <w:t>39,003,451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w:t>
            </w:r>
            <w:bookmarkStart w:id="553" w:name="xdx_989_eus-gaap--ShareBasedCompensation"/>
            <w:bookmarkEnd w:id="553"/>
          </w:p>
        </w:tc>
        <w:tc>
          <w:tcPr>
            <w:tcW w:w="1040" w:type="dxa"/>
            <w:tcBorders/>
            <w:shd w:fill="CCEEFF" w:val="clear"/>
            <w:vAlign w:val="center"/>
          </w:tcPr>
          <w:p>
            <w:pPr>
              <w:pStyle w:val="TableContents"/>
              <w:bidi w:val="0"/>
              <w:spacing w:before="0" w:after="283"/>
              <w:jc w:val="right"/>
              <w:rPr/>
            </w:pPr>
            <w:r>
              <w:rPr/>
              <w:t>0.08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bookmarkStart w:id="554" w:name="xdx_904_eus-gaap--SharebasedCompensation"/>
            <w:bookmarkEnd w:id="554"/>
            <w:r>
              <w:rPr/>
              <w:t>9.62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w:t>
            </w:r>
            <w:bookmarkStart w:id="555" w:name="xdx_98F_eus-gaap--ShareBasedCompensation"/>
            <w:bookmarkEnd w:id="555"/>
          </w:p>
        </w:tc>
        <w:tc>
          <w:tcPr>
            <w:tcW w:w="1216" w:type="dxa"/>
            <w:tcBorders/>
            <w:shd w:fill="CCEEFF" w:val="clear"/>
            <w:vAlign w:val="center"/>
          </w:tcPr>
          <w:p>
            <w:pPr>
              <w:pStyle w:val="TableContents"/>
              <w:bidi w:val="0"/>
              <w:spacing w:before="0" w:after="283"/>
              <w:jc w:val="right"/>
              <w:rPr/>
            </w:pPr>
            <w:r>
              <w:rPr/>
              <w:t>58,598</w:t>
            </w:r>
          </w:p>
        </w:tc>
        <w:tc>
          <w:tcPr>
            <w:tcW w:w="78" w:type="dxa"/>
            <w:tcBorders/>
            <w:shd w:fill="CCEEFF" w:val="clear"/>
            <w:vAlign w:val="center"/>
          </w:tcPr>
          <w:p>
            <w:pPr>
              <w:pStyle w:val="TableContents"/>
              <w:bidi w:val="0"/>
              <w:spacing w:before="0" w:after="283"/>
              <w:jc w:val="left"/>
              <w:rPr/>
            </w:pPr>
            <w:r>
              <w:rPr/>
              <w:t> </w:t>
            </w:r>
          </w:p>
        </w:tc>
      </w:tr>
      <w:tr>
        <w:trPr/>
        <w:tc>
          <w:tcPr>
            <w:tcW w:w="3789"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bookmarkStart w:id="556" w:name="xdx_983_eus-gaap--ShareBasedCompensation"/>
            <w:bookmarkEnd w:id="556"/>
          </w:p>
        </w:tc>
        <w:tc>
          <w:tcPr>
            <w:tcW w:w="1100" w:type="dxa"/>
            <w:tcBorders/>
            <w:shd w:fill="FFFFFF" w:val="clear"/>
            <w:vAlign w:val="center"/>
          </w:tcPr>
          <w:p>
            <w:pPr>
              <w:pStyle w:val="TableContents"/>
              <w:bidi w:val="0"/>
              <w:spacing w:before="0" w:after="283"/>
              <w:jc w:val="right"/>
              <w:rPr/>
            </w:pPr>
            <w:r>
              <w:rPr/>
              <w:t>11,850,000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shd w:fill="FFFFFF" w:val="clear"/>
            <w:vAlign w:val="center"/>
          </w:tcPr>
          <w:p>
            <w:pPr>
              <w:pStyle w:val="TableContents"/>
              <w:bidi w:val="0"/>
              <w:spacing w:before="0" w:after="283"/>
              <w:jc w:val="left"/>
              <w:rPr/>
            </w:pPr>
            <w:r>
              <w:rPr/>
              <w:t> </w:t>
            </w:r>
            <w:bookmarkStart w:id="557" w:name="xdx_98E_eus-gaap--ShareBasedCompensation"/>
            <w:bookmarkEnd w:id="557"/>
          </w:p>
        </w:tc>
        <w:tc>
          <w:tcPr>
            <w:tcW w:w="1040" w:type="dxa"/>
            <w:tcBorders/>
            <w:shd w:fill="FFFFFF" w:val="clear"/>
            <w:vAlign w:val="center"/>
          </w:tcPr>
          <w:p>
            <w:pPr>
              <w:pStyle w:val="TableContents"/>
              <w:bidi w:val="0"/>
              <w:spacing w:before="0" w:after="283"/>
              <w:jc w:val="right"/>
              <w:rPr/>
            </w:pPr>
            <w:r>
              <w:rPr/>
              <w:t>0.75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169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3789" w:type="dxa"/>
            <w:tcBorders/>
            <w:shd w:fill="CCEEFF" w:val="clear"/>
            <w:vAlign w:val="center"/>
          </w:tcPr>
          <w:p>
            <w:pPr>
              <w:pStyle w:val="TableContents"/>
              <w:bidi w:val="0"/>
              <w:spacing w:before="0" w:after="283"/>
              <w:jc w:val="left"/>
              <w:rPr/>
            </w:pPr>
            <w:r>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bookmarkStart w:id="558" w:name="xdx_98B_eus-gaap--StockIssuedDuringPerio"/>
            <w:bookmarkEnd w:id="558"/>
          </w:p>
        </w:tc>
        <w:tc>
          <w:tcPr>
            <w:tcW w:w="1100" w:type="dxa"/>
            <w:tcBorders/>
            <w:shd w:fill="CCEEFF" w:val="clear"/>
            <w:vAlign w:val="center"/>
          </w:tcPr>
          <w:p>
            <w:pPr>
              <w:pStyle w:val="TableContents"/>
              <w:bidi w:val="0"/>
              <w:spacing w:before="0" w:after="283"/>
              <w:jc w:val="right"/>
              <w:rPr/>
            </w:pPr>
            <w:r>
              <w:rPr/>
              <w:t>(10,415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30" w:type="dxa"/>
            <w:tcBorders/>
            <w:shd w:fill="CCEEFF" w:val="clear"/>
            <w:vAlign w:val="center"/>
          </w:tcPr>
          <w:p>
            <w:pPr>
              <w:pStyle w:val="TableContents"/>
              <w:bidi w:val="0"/>
              <w:spacing w:before="0" w:after="283"/>
              <w:jc w:val="left"/>
              <w:rPr/>
            </w:pPr>
            <w:r>
              <w:rPr/>
              <w:t> </w:t>
            </w:r>
            <w:bookmarkStart w:id="559" w:name="xdx_983_eus-gaap--ShareBasedCompensation"/>
            <w:bookmarkEnd w:id="559"/>
          </w:p>
        </w:tc>
        <w:tc>
          <w:tcPr>
            <w:tcW w:w="1040" w:type="dxa"/>
            <w:tcBorders/>
            <w:shd w:fill="CCEEFF" w:val="clear"/>
            <w:vAlign w:val="center"/>
          </w:tcPr>
          <w:p>
            <w:pPr>
              <w:pStyle w:val="TableContents"/>
              <w:bidi w:val="0"/>
              <w:spacing w:before="0" w:after="283"/>
              <w:jc w:val="right"/>
              <w:rPr/>
            </w:pPr>
            <w:r>
              <w:rPr/>
              <w:t>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169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 </w:t>
            </w:r>
          </w:p>
        </w:tc>
        <w:tc>
          <w:tcPr>
            <w:tcW w:w="78" w:type="dxa"/>
            <w:tcBorders/>
            <w:shd w:fill="CCEEFF" w:val="clear"/>
            <w:vAlign w:val="center"/>
          </w:tcPr>
          <w:p>
            <w:pPr>
              <w:pStyle w:val="TableContents"/>
              <w:bidi w:val="0"/>
              <w:spacing w:before="0" w:after="283"/>
              <w:jc w:val="left"/>
              <w:rPr/>
            </w:pPr>
            <w:r>
              <w:rPr/>
              <w:t> </w:t>
            </w:r>
          </w:p>
        </w:tc>
      </w:tr>
      <w:tr>
        <w:trPr/>
        <w:tc>
          <w:tcPr>
            <w:tcW w:w="3789" w:type="dxa"/>
            <w:tcBorders/>
            <w:shd w:fill="FFFFFF" w:val="clear"/>
            <w:vAlign w:val="center"/>
          </w:tcPr>
          <w:p>
            <w:pPr>
              <w:pStyle w:val="TableContents"/>
              <w:bidi w:val="0"/>
              <w:spacing w:before="0" w:after="283"/>
              <w:jc w:val="left"/>
              <w:rPr/>
            </w:pPr>
            <w:r>
              <w:rPr/>
              <w:t>Forfeited and expired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60" w:name="xdx_98D_eus-gaap--ShareBasedCompensation"/>
            <w:bookmarkEnd w:id="560"/>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bookmarkStart w:id="561" w:name="xdx_982_eus-gaap--ShareBasedCompensation"/>
            <w:bookmarkEnd w:id="561"/>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1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78" w:type="dxa"/>
            <w:tcBorders/>
            <w:shd w:fill="FFFFFF" w:val="clear"/>
            <w:vAlign w:val="center"/>
          </w:tcPr>
          <w:p>
            <w:pPr>
              <w:pStyle w:val="TableContents"/>
              <w:bidi w:val="0"/>
              <w:spacing w:before="0" w:after="283"/>
              <w:jc w:val="left"/>
              <w:rPr/>
            </w:pPr>
            <w:r>
              <w:rPr/>
              <w:t> </w:t>
            </w:r>
          </w:p>
        </w:tc>
      </w:tr>
      <w:tr>
        <w:trPr/>
        <w:tc>
          <w:tcPr>
            <w:tcW w:w="3789" w:type="dxa"/>
            <w:tcBorders/>
            <w:shd w:fill="CCEEFF" w:val="clear"/>
            <w:vAlign w:val="center"/>
          </w:tcPr>
          <w:p>
            <w:pPr>
              <w:pStyle w:val="TableContents"/>
              <w:bidi w:val="0"/>
              <w:spacing w:before="0" w:after="283"/>
              <w:jc w:val="left"/>
              <w:rPr/>
            </w:pPr>
            <w:r>
              <w:rPr/>
              <w:t>Balance at June 30,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62" w:name="xdx_989_eus-gaap--ShareBasedCompensation"/>
            <w:bookmarkEnd w:id="562"/>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50,843,036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63" w:name="xdx_981_eus-gaap--ShareBasedCompensation"/>
            <w:bookmarkEnd w:id="563"/>
          </w:p>
        </w:tc>
        <w:tc>
          <w:tcPr>
            <w:tcW w:w="1040" w:type="dxa"/>
            <w:tcBorders>
              <w:bottom w:val="double" w:sz="6" w:space="0" w:color="000000"/>
            </w:tcBorders>
            <w:shd w:fill="CCEEFF" w:val="clear"/>
            <w:tcMar>
              <w:bottom w:w="28" w:type="dxa"/>
            </w:tcMar>
            <w:vAlign w:val="center"/>
          </w:tcPr>
          <w:p>
            <w:pPr>
              <w:pStyle w:val="TableContents"/>
              <w:bidi w:val="0"/>
              <w:spacing w:before="0" w:after="283"/>
              <w:jc w:val="right"/>
              <w:rPr/>
            </w:pPr>
            <w:r>
              <w:rPr/>
              <w:t>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694" w:type="dxa"/>
            <w:tcBorders>
              <w:bottom w:val="double" w:sz="6" w:space="0" w:color="000000"/>
            </w:tcBorders>
            <w:shd w:fill="CCEEFF" w:val="clear"/>
            <w:tcMar>
              <w:bottom w:w="28" w:type="dxa"/>
            </w:tcMar>
            <w:vAlign w:val="center"/>
          </w:tcPr>
          <w:p>
            <w:pPr>
              <w:pStyle w:val="TableContents"/>
              <w:bidi w:val="0"/>
              <w:spacing w:before="0" w:after="283"/>
              <w:jc w:val="right"/>
              <w:rPr/>
            </w:pPr>
            <w:bookmarkStart w:id="564" w:name="xdx_90D_eus-gaap--SharebasedCompensation"/>
            <w:bookmarkEnd w:id="564"/>
            <w:r>
              <w:rPr/>
              <w:t>5.41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bookmarkStart w:id="565" w:name="xdx_98B_eus-gaap--ShareBasedCompensation"/>
            <w:bookmarkEnd w:id="565"/>
          </w:p>
        </w:tc>
        <w:tc>
          <w:tcPr>
            <w:tcW w:w="1216" w:type="dxa"/>
            <w:tcBorders>
              <w:bottom w:val="double" w:sz="6" w:space="0" w:color="000000"/>
            </w:tcBorders>
            <w:shd w:fill="CCEEFF" w:val="clear"/>
            <w:tcMar>
              <w:bottom w:w="28" w:type="dxa"/>
            </w:tcMar>
            <w:vAlign w:val="center"/>
          </w:tcPr>
          <w:p>
            <w:pPr>
              <w:pStyle w:val="TableContents"/>
              <w:bidi w:val="0"/>
              <w:spacing w:before="0" w:after="283"/>
              <w:jc w:val="right"/>
              <w:rPr/>
            </w:pPr>
            <w:r>
              <w:rPr/>
              <w:t>101,214</w:t>
            </w:r>
          </w:p>
        </w:tc>
        <w:tc>
          <w:tcPr>
            <w:tcW w:w="78" w:type="dxa"/>
            <w:tcBorders/>
            <w:shd w:fill="CCEEFF" w:val="clear"/>
            <w:vAlign w:val="center"/>
          </w:tcPr>
          <w:p>
            <w:pPr>
              <w:pStyle w:val="TableContents"/>
              <w:bidi w:val="0"/>
              <w:spacing w:before="0" w:after="283"/>
              <w:ind w:left="0" w:right="0" w:hanging="200"/>
              <w:jc w:val="left"/>
              <w:rPr/>
            </w:pPr>
            <w:r>
              <w:rPr/>
              <w:t> </w:t>
            </w:r>
          </w:p>
        </w:tc>
      </w:tr>
      <w:tr>
        <w:trPr/>
        <w:tc>
          <w:tcPr>
            <w:tcW w:w="3789" w:type="dxa"/>
            <w:tcBorders/>
            <w:shd w:fill="FFFFFF" w:val="clear"/>
            <w:vAlign w:val="center"/>
          </w:tcPr>
          <w:p>
            <w:pPr>
              <w:pStyle w:val="TableContents"/>
              <w:bidi w:val="0"/>
              <w:spacing w:before="0" w:after="283"/>
              <w:jc w:val="left"/>
              <w:rPr/>
            </w:pPr>
            <w:r>
              <w:rPr/>
              <w:t>Options vested and exercisable at June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bookmarkStart w:id="566" w:name="xdx_989_eus-gaap--ShareBasedCompensation"/>
            <w:bookmarkEnd w:id="566"/>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3,000,600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67" w:name="xdx_988_eus-gaap--ShareBasedCompensation"/>
            <w:bookmarkEnd w:id="567"/>
          </w:p>
        </w:tc>
        <w:tc>
          <w:tcPr>
            <w:tcW w:w="1040" w:type="dxa"/>
            <w:tcBorders>
              <w:bottom w:val="double" w:sz="6" w:space="0" w:color="000000"/>
            </w:tcBorders>
            <w:shd w:fill="FFFFFF" w:val="clear"/>
            <w:tcMar>
              <w:bottom w:w="28" w:type="dxa"/>
            </w:tcMar>
            <w:vAlign w:val="center"/>
          </w:tcPr>
          <w:p>
            <w:pPr>
              <w:pStyle w:val="TableContents"/>
              <w:bidi w:val="0"/>
              <w:spacing w:before="0" w:after="283"/>
              <w:jc w:val="right"/>
              <w:rPr/>
            </w:pPr>
            <w:r>
              <w:rPr/>
              <w:t>0.57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694" w:type="dxa"/>
            <w:tcBorders>
              <w:bottom w:val="double" w:sz="6" w:space="0" w:color="000000"/>
            </w:tcBorders>
            <w:shd w:fill="FFFFFF" w:val="clear"/>
            <w:tcMar>
              <w:bottom w:w="28" w:type="dxa"/>
            </w:tcMar>
            <w:vAlign w:val="center"/>
          </w:tcPr>
          <w:p>
            <w:pPr>
              <w:pStyle w:val="TableContents"/>
              <w:bidi w:val="0"/>
              <w:spacing w:before="0" w:after="283"/>
              <w:jc w:val="right"/>
              <w:rPr/>
            </w:pPr>
            <w:bookmarkStart w:id="568" w:name="xdx_902_eus-gaap--SharebasedCompensation"/>
            <w:bookmarkEnd w:id="568"/>
            <w:r>
              <w:rPr/>
              <w:t>4.69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bookmarkStart w:id="569" w:name="xdx_982_eus-gaap--SharebasedCompensation"/>
            <w:bookmarkEnd w:id="569"/>
          </w:p>
        </w:tc>
        <w:tc>
          <w:tcPr>
            <w:tcW w:w="1216" w:type="dxa"/>
            <w:tcBorders>
              <w:bottom w:val="double" w:sz="6" w:space="0" w:color="000000"/>
            </w:tcBorders>
            <w:shd w:fill="FFFFFF" w:val="clear"/>
            <w:tcMar>
              <w:bottom w:w="28" w:type="dxa"/>
            </w:tcMar>
            <w:vAlign w:val="center"/>
          </w:tcPr>
          <w:p>
            <w:pPr>
              <w:pStyle w:val="TableContents"/>
              <w:bidi w:val="0"/>
              <w:spacing w:before="0" w:after="283"/>
              <w:jc w:val="right"/>
              <w:rPr/>
            </w:pPr>
            <w:r>
              <w:rPr/>
              <w:t>5,225</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08"/>
        <w:jc w:val="left"/>
        <w:rPr>
          <w:caps w:val="false"/>
          <w:smallCaps w:val="false"/>
        </w:rPr>
      </w:pPr>
      <w:bookmarkStart w:id="570" w:name="xdx_8AF_zLpLNcduMNif"/>
      <w:bookmarkEnd w:id="570"/>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the Company granted options exercisable into </w:t>
      </w:r>
      <w:bookmarkStart w:id="571" w:name="xdx_90C_eus-gaap--ShareBasedCompensation"/>
      <w:bookmarkEnd w:id="571"/>
      <w:r>
        <w:rPr>
          <w:rFonts w:ascii="Times New Roman;Times;Serif" w:hAnsi="Times New Roman;Times;Serif"/>
          <w:b w:val="false"/>
          <w:i w:val="false"/>
          <w:caps w:val="false"/>
          <w:smallCaps w:val="false"/>
          <w:sz w:val="20"/>
        </w:rPr>
        <w:t xml:space="preserve">11,850,000 shares of its Common Stock to its employees and advisors. The stock options vest over a weighted average </w:t>
      </w:r>
      <w:bookmarkStart w:id="572" w:name="xdx_90F_eus-gaap--SharebasedCompensation"/>
      <w:bookmarkEnd w:id="572"/>
      <w:r>
        <w:rPr>
          <w:rFonts w:ascii="Times New Roman;Times;Serif" w:hAnsi="Times New Roman;Times;Serif"/>
          <w:b w:val="false"/>
          <w:i w:val="false"/>
          <w:caps w:val="false"/>
          <w:smallCaps w:val="false"/>
          <w:sz w:val="20"/>
        </w:rPr>
        <w:t>3.80 year period and are exercisable at a weighted average price of $</w:t>
      </w:r>
      <w:bookmarkStart w:id="573" w:name="xdx_904_eus-gaap--ShareBasedCompensation"/>
      <w:bookmarkEnd w:id="573"/>
      <w:r>
        <w:rPr>
          <w:rFonts w:ascii="Times New Roman;Times;Serif" w:hAnsi="Times New Roman;Times;Serif"/>
          <w:b w:val="false"/>
          <w:i w:val="false"/>
          <w:caps w:val="false"/>
          <w:smallCaps w:val="false"/>
          <w:sz w:val="20"/>
        </w:rPr>
        <w:t xml:space="preserve">0.75 per share with an average life expiration of </w:t>
      </w:r>
      <w:bookmarkStart w:id="574" w:name="xdx_900_eus-gaap--SharebasedCompensation"/>
      <w:bookmarkEnd w:id="574"/>
      <w:r>
        <w:rPr>
          <w:rFonts w:ascii="Times New Roman;Times;Serif" w:hAnsi="Times New Roman;Times;Serif"/>
          <w:b w:val="false"/>
          <w:i w:val="false"/>
          <w:caps w:val="false"/>
          <w:smallCaps w:val="false"/>
          <w:sz w:val="20"/>
        </w:rPr>
        <w:t>6.48 years. The total fair value of these options at the grant date was approximately $</w:t>
      </w:r>
      <w:bookmarkStart w:id="575" w:name="xdx_900_eecd--AwardGrantDateFairValue_iI"/>
      <w:bookmarkEnd w:id="575"/>
      <w:r>
        <w:rPr>
          <w:rFonts w:ascii="Times New Roman;Times;Serif" w:hAnsi="Times New Roman;Times;Serif"/>
          <w:b w:val="false"/>
          <w:i w:val="false"/>
          <w:caps w:val="false"/>
          <w:smallCaps w:val="false"/>
          <w:sz w:val="20"/>
        </w:rPr>
        <w:t>12,942, which was determined using a Black-Scholes option pricing model with the following average assumptions: stock price of $</w:t>
      </w:r>
      <w:bookmarkStart w:id="576" w:name="xdx_904_eus-gaap--SharePrice_iI_pip0_c20"/>
      <w:bookmarkEnd w:id="576"/>
      <w:r>
        <w:rPr>
          <w:rFonts w:ascii="Times New Roman;Times;Serif" w:hAnsi="Times New Roman;Times;Serif"/>
          <w:b w:val="false"/>
          <w:i w:val="false"/>
          <w:caps w:val="false"/>
          <w:smallCaps w:val="false"/>
          <w:sz w:val="20"/>
        </w:rPr>
        <w:t xml:space="preserve">1.10 per share, expected term of </w:t>
      </w:r>
      <w:bookmarkStart w:id="577" w:name="xdx_909_eus-gaap--SharebasedCompensation"/>
      <w:bookmarkEnd w:id="577"/>
      <w:r>
        <w:rPr>
          <w:rFonts w:ascii="Times New Roman;Times;Serif" w:hAnsi="Times New Roman;Times;Serif"/>
          <w:b w:val="false"/>
          <w:i w:val="false"/>
          <w:caps w:val="false"/>
          <w:smallCaps w:val="false"/>
          <w:sz w:val="20"/>
        </w:rPr>
        <w:t xml:space="preserve">6.5 years, volatility of </w:t>
      </w:r>
      <w:bookmarkStart w:id="578" w:name="xdx_905_eus-gaap--ShareBasedCompensation"/>
      <w:bookmarkEnd w:id="578"/>
      <w:r>
        <w:rPr>
          <w:rFonts w:ascii="Times New Roman;Times;Serif" w:hAnsi="Times New Roman;Times;Serif"/>
          <w:b w:val="false"/>
          <w:i w:val="false"/>
          <w:caps w:val="false"/>
          <w:smallCaps w:val="false"/>
          <w:sz w:val="20"/>
        </w:rPr>
        <w:t xml:space="preserve">150%, dividend rate of </w:t>
      </w:r>
      <w:bookmarkStart w:id="579" w:name="xdx_90E_eus-gaap--ShareBasedCompensation"/>
      <w:bookmarkEnd w:id="579"/>
      <w:r>
        <w:rPr>
          <w:rFonts w:ascii="Times New Roman;Times;Serif" w:hAnsi="Times New Roman;Times;Serif"/>
          <w:b w:val="false"/>
          <w:i w:val="false"/>
          <w:caps w:val="false"/>
          <w:smallCaps w:val="false"/>
          <w:sz w:val="20"/>
        </w:rPr>
        <w:t xml:space="preserve">0%, and weighted average risk-free interest rate of </w:t>
      </w:r>
      <w:bookmarkStart w:id="580" w:name="xdx_903_eus-gaap--ShareBasedCompensation"/>
      <w:bookmarkEnd w:id="580"/>
      <w:r>
        <w:rPr>
          <w:rFonts w:ascii="Times New Roman;Times;Serif" w:hAnsi="Times New Roman;Times;Serif"/>
          <w:b w:val="false"/>
          <w:i w:val="false"/>
          <w:caps w:val="false"/>
          <w:smallCaps w:val="false"/>
          <w:sz w:val="20"/>
        </w:rPr>
        <w:t>4.26%.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April 30, 2026, the Company issued </w:t>
      </w:r>
      <w:bookmarkStart w:id="581" w:name="xdx_909_eus-gaap--StockIssuedDuringPerio"/>
      <w:bookmarkEnd w:id="581"/>
      <w:r>
        <w:rPr>
          <w:rFonts w:ascii="Times New Roman;Times;Serif" w:hAnsi="Times New Roman;Times;Serif"/>
          <w:b w:val="false"/>
          <w:i w:val="false"/>
          <w:caps w:val="false"/>
          <w:smallCaps w:val="false"/>
          <w:sz w:val="20"/>
        </w:rPr>
        <w:t>10,415 shares of Common Stock pursuant to a stock option exercise for proceeds of $</w:t>
      </w:r>
      <w:bookmarkStart w:id="582" w:name="xdx_90F_eus-gaap--StockIssuedDuringPerio"/>
      <w:bookmarkEnd w:id="582"/>
      <w:r>
        <w:rPr>
          <w:rFonts w:ascii="Times New Roman;Times;Serif" w:hAnsi="Times New Roman;Times;Serif"/>
          <w:b w:val="false"/>
          <w:i w:val="false"/>
          <w:caps w:val="false"/>
          <w:smallCaps w:val="false"/>
          <w:sz w:val="20"/>
        </w:rPr>
        <w:t>1.</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June 30, 2026, there was $</w:t>
      </w:r>
      <w:bookmarkStart w:id="583" w:name="xdx_901_eus-gaap--EmployeeServiceShareBa"/>
      <w:bookmarkEnd w:id="583"/>
      <w:r>
        <w:rPr>
          <w:rFonts w:ascii="Times New Roman;Times;Serif" w:hAnsi="Times New Roman;Times;Serif"/>
          <w:b w:val="false"/>
          <w:i w:val="false"/>
          <w:caps w:val="false"/>
          <w:smallCaps w:val="false"/>
          <w:sz w:val="20"/>
        </w:rPr>
        <w:t xml:space="preserve">13,998 of total unrecognized compensation cost related to unvested stock options. The Company expects to recognize the unrecognized compensation amount over a remaining weighted-average period of </w:t>
      </w:r>
      <w:bookmarkStart w:id="584" w:name="xdx_90F_eus-gaap--EmployeeServiceShareBa"/>
      <w:bookmarkEnd w:id="584"/>
      <w:r>
        <w:rPr>
          <w:rFonts w:ascii="Times New Roman;Times;Serif" w:hAnsi="Times New Roman;Times;Serif"/>
          <w:b w:val="false"/>
          <w:i w:val="false"/>
          <w:caps w:val="false"/>
          <w:smallCaps w:val="false"/>
          <w:sz w:val="20"/>
        </w:rPr>
        <w:t>3.80 years. The fair value of stock options that vested during the six months ended June 30, 2026 and 2025 was $</w:t>
      </w:r>
      <w:bookmarkStart w:id="585" w:name="xdx_907_eus-gaap--SharebasedCompensation"/>
      <w:bookmarkEnd w:id="585"/>
      <w:r>
        <w:rPr>
          <w:rFonts w:ascii="Times New Roman;Times;Serif" w:hAnsi="Times New Roman;Times;Serif"/>
          <w:b w:val="false"/>
          <w:i w:val="false"/>
          <w:caps w:val="false"/>
          <w:smallCaps w:val="false"/>
          <w:sz w:val="20"/>
        </w:rPr>
        <w:t>444 and $</w:t>
      </w:r>
      <w:bookmarkStart w:id="586" w:name="xdx_907_eus-gaap--SharebasedCompensation"/>
      <w:bookmarkEnd w:id="586"/>
      <w:r>
        <w:rPr>
          <w:rFonts w:ascii="Times New Roman;Times;Serif" w:hAnsi="Times New Roman;Times;Serif"/>
          <w:b w:val="false"/>
          <w:i w:val="false"/>
          <w:caps w:val="false"/>
          <w:smallCaps w:val="false"/>
          <w:sz w:val="20"/>
        </w:rPr>
        <w:t>74, respectively.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fair market value of $</w:t>
      </w:r>
      <w:bookmarkStart w:id="587" w:name="xdx_904_eus-gaap--ShareBasedCompensation"/>
      <w:bookmarkEnd w:id="587"/>
      <w:r>
        <w:rPr>
          <w:rFonts w:ascii="Times New Roman;Times;Serif" w:hAnsi="Times New Roman;Times;Serif"/>
          <w:b w:val="false"/>
          <w:i w:val="false"/>
          <w:caps w:val="false"/>
          <w:smallCaps w:val="false"/>
          <w:sz w:val="20"/>
        </w:rPr>
        <w:t>1.27 per share on June 30, 2026, the intrinsic value attributed to exercisable and unexercised Common Stock options was $</w:t>
      </w:r>
      <w:bookmarkStart w:id="588" w:name="xdx_90D_eus-gaap--SharebasedCompensation"/>
      <w:bookmarkEnd w:id="588"/>
      <w:r>
        <w:rPr>
          <w:rFonts w:ascii="Times New Roman;Times;Serif" w:hAnsi="Times New Roman;Times;Serif"/>
          <w:b w:val="false"/>
          <w:i w:val="false"/>
          <w:caps w:val="false"/>
          <w:smallCaps w:val="false"/>
          <w:sz w:val="20"/>
        </w:rPr>
        <w:t>2,637 at June 30,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classification of the Company’s stock-based compensation expense related to stock options and restricted common stock in the condensed consolidated statements of operations and comprehensive income (loss):</w:t>
      </w:r>
    </w:p>
    <w:p>
      <w:pPr>
        <w:pStyle w:val="Normal"/>
        <w:bidi w:val="0"/>
        <w:spacing w:before="0" w:after="0"/>
        <w:jc w:val="left"/>
        <w:rPr>
          <w:sz w:val="4"/>
          <w:szCs w:val="4"/>
        </w:rPr>
      </w:pPr>
      <w:r>
        <w:rPr>
          <w:sz w:val="4"/>
          <w:szCs w:val="4"/>
        </w:rPr>
      </w:r>
      <w:bookmarkStart w:id="589" w:name="xdx_894_ecustom--ScheduleOfShareBasedCom"/>
      <w:bookmarkStart w:id="590" w:name="xdx_894_ecustom--ScheduleOfShareBasedCom"/>
      <w:bookmarkEnd w:id="590"/>
    </w:p>
    <w:tbl>
      <w:tblPr>
        <w:tblW w:w="9879" w:type="dxa"/>
        <w:jc w:val="left"/>
        <w:tblInd w:w="0" w:type="dxa"/>
        <w:tblLayout w:type="fixed"/>
        <w:tblCellMar>
          <w:top w:w="0" w:type="dxa"/>
          <w:left w:w="0" w:type="dxa"/>
          <w:bottom w:w="0" w:type="dxa"/>
          <w:right w:w="0" w:type="dxa"/>
        </w:tblCellMar>
      </w:tblPr>
      <w:tblGrid>
        <w:gridCol w:w="3680"/>
        <w:gridCol w:w="60"/>
        <w:gridCol w:w="420"/>
        <w:gridCol w:w="1141"/>
        <w:gridCol w:w="180"/>
        <w:gridCol w:w="180"/>
        <w:gridCol w:w="420"/>
        <w:gridCol w:w="781"/>
        <w:gridCol w:w="60"/>
        <w:gridCol w:w="60"/>
        <w:gridCol w:w="380"/>
        <w:gridCol w:w="1032"/>
        <w:gridCol w:w="162"/>
        <w:gridCol w:w="162"/>
        <w:gridCol w:w="380"/>
        <w:gridCol w:w="706"/>
        <w:gridCol w:w="75"/>
      </w:tblGrid>
      <w:tr>
        <w:trPr/>
        <w:tc>
          <w:tcPr>
            <w:tcW w:w="3680" w:type="dxa"/>
            <w:tcBorders/>
            <w:vAlign w:val="center"/>
          </w:tcPr>
          <w:p>
            <w:pPr>
              <w:pStyle w:val="TableContents"/>
              <w:bidi w:val="0"/>
              <w:spacing w:before="0" w:after="283"/>
              <w:jc w:val="left"/>
              <w:rPr/>
            </w:pPr>
            <w:bookmarkStart w:id="591" w:name="xdx_8B9_zcpj0UXmgW7h"/>
            <w:bookmarkEnd w:id="591"/>
            <w:r>
              <w:rPr/>
              <w:t>Schedule of stock based compensation</w:t>
            </w:r>
          </w:p>
        </w:tc>
        <w:tc>
          <w:tcPr>
            <w:tcW w:w="6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bookmarkStart w:id="592" w:name="xdx_49F_20260401__20260630_zhK06GiKPqGe"/>
            <w:bookmarkEnd w:id="592"/>
          </w:p>
        </w:tc>
        <w:tc>
          <w:tcPr>
            <w:tcW w:w="1141" w:type="dxa"/>
            <w:tcBorders/>
            <w:vAlign w:val="center"/>
          </w:tcPr>
          <w:p>
            <w:pPr>
              <w:pStyle w:val="TableContents"/>
              <w:bidi w:val="0"/>
              <w:spacing w:before="0" w:after="283"/>
              <w:jc w:val="center"/>
              <w:rPr/>
            </w:pPr>
            <w:r>
              <w:rPr/>
              <w:t> </w:t>
            </w:r>
          </w:p>
        </w:tc>
        <w:tc>
          <w:tcPr>
            <w:tcW w:w="18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420" w:type="dxa"/>
            <w:tcBorders/>
            <w:vAlign w:val="center"/>
          </w:tcPr>
          <w:p>
            <w:pPr>
              <w:pStyle w:val="TableContents"/>
              <w:bidi w:val="0"/>
              <w:spacing w:before="0" w:after="283"/>
              <w:jc w:val="left"/>
              <w:rPr/>
            </w:pPr>
            <w:r>
              <w:rPr/>
              <w:t> </w:t>
            </w:r>
            <w:bookmarkStart w:id="593" w:name="xdx_491_20250401__20250630_zxQNNkh8j1Ui"/>
            <w:bookmarkEnd w:id="593"/>
          </w:p>
        </w:tc>
        <w:tc>
          <w:tcPr>
            <w:tcW w:w="78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bookmarkStart w:id="594" w:name="xdx_490_20260101__20260630_zH0l6usGLzmc"/>
            <w:bookmarkEnd w:id="594"/>
          </w:p>
        </w:tc>
        <w:tc>
          <w:tcPr>
            <w:tcW w:w="1032" w:type="dxa"/>
            <w:tcBorders/>
            <w:vAlign w:val="center"/>
          </w:tcPr>
          <w:p>
            <w:pPr>
              <w:pStyle w:val="TableContents"/>
              <w:bidi w:val="0"/>
              <w:spacing w:before="0" w:after="283"/>
              <w:jc w:val="center"/>
              <w:rPr/>
            </w:pPr>
            <w:r>
              <w:rPr/>
              <w:t> </w:t>
            </w:r>
          </w:p>
        </w:tc>
        <w:tc>
          <w:tcPr>
            <w:tcW w:w="16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bookmarkStart w:id="595" w:name="xdx_499_20250101__20250630_zzjnJjUCXsm2"/>
            <w:bookmarkEnd w:id="595"/>
          </w:p>
        </w:tc>
        <w:tc>
          <w:tcPr>
            <w:tcW w:w="706"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1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22"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75" w:type="dxa"/>
            <w:tcBorders/>
            <w:vAlign w:val="center"/>
          </w:tcPr>
          <w:p>
            <w:pPr>
              <w:pStyle w:val="TableContents"/>
              <w:bidi w:val="0"/>
              <w:spacing w:before="0" w:after="283"/>
              <w:jc w:val="left"/>
              <w:rPr/>
            </w:pPr>
            <w:r>
              <w:rPr/>
              <w:t> </w:t>
            </w:r>
          </w:p>
        </w:tc>
      </w:tr>
      <w:tr>
        <w:trPr/>
        <w:tc>
          <w:tcPr>
            <w:tcW w:w="36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5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8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12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62"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bookmarkStart w:id="596" w:name="xdx_403_eus-gaap--ShareBasedCompensation"/>
            <w:bookmarkEnd w:id="596"/>
          </w:p>
        </w:tc>
      </w:tr>
      <w:tr>
        <w:trPr/>
        <w:tc>
          <w:tcPr>
            <w:tcW w:w="368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w:t>
            </w:r>
          </w:p>
        </w:tc>
        <w:tc>
          <w:tcPr>
            <w:tcW w:w="1141" w:type="dxa"/>
            <w:tcBorders/>
            <w:shd w:fill="CCEEFF" w:val="clear"/>
            <w:vAlign w:val="center"/>
          </w:tcPr>
          <w:p>
            <w:pPr>
              <w:pStyle w:val="TableContents"/>
              <w:bidi w:val="0"/>
              <w:spacing w:before="0" w:after="283"/>
              <w:jc w:val="right"/>
              <w:rPr/>
            </w:pPr>
            <w:r>
              <w:rPr/>
              <w:t>58</w:t>
            </w:r>
          </w:p>
        </w:tc>
        <w:tc>
          <w:tcPr>
            <w:tcW w:w="18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420" w:type="dxa"/>
            <w:tcBorders/>
            <w:shd w:fill="CCEEFF" w:val="clear"/>
            <w:vAlign w:val="center"/>
          </w:tcPr>
          <w:p>
            <w:pPr>
              <w:pStyle w:val="TableContents"/>
              <w:bidi w:val="0"/>
              <w:spacing w:before="0" w:after="283"/>
              <w:jc w:val="left"/>
              <w:rPr/>
            </w:pPr>
            <w:r>
              <w:rPr/>
              <w:t>$</w:t>
            </w:r>
          </w:p>
        </w:tc>
        <w:tc>
          <w:tcPr>
            <w:tcW w:w="78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1032" w:type="dxa"/>
            <w:tcBorders/>
            <w:shd w:fill="CCEEFF" w:val="clear"/>
            <w:vAlign w:val="center"/>
          </w:tcPr>
          <w:p>
            <w:pPr>
              <w:pStyle w:val="TableContents"/>
              <w:bidi w:val="0"/>
              <w:spacing w:before="0" w:after="283"/>
              <w:jc w:val="right"/>
              <w:rPr/>
            </w:pPr>
            <w:r>
              <w:rPr/>
              <w:t>144</w:t>
            </w:r>
          </w:p>
        </w:tc>
        <w:tc>
          <w:tcPr>
            <w:tcW w:w="162"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380" w:type="dxa"/>
            <w:tcBorders/>
            <w:shd w:fill="CCEEFF" w:val="clear"/>
            <w:vAlign w:val="center"/>
          </w:tcPr>
          <w:p>
            <w:pPr>
              <w:pStyle w:val="TableContents"/>
              <w:bidi w:val="0"/>
              <w:spacing w:before="0" w:after="283"/>
              <w:jc w:val="left"/>
              <w:rPr/>
            </w:pPr>
            <w:r>
              <w:rPr/>
              <w:t>$</w:t>
            </w:r>
          </w:p>
        </w:tc>
        <w:tc>
          <w:tcPr>
            <w:tcW w:w="706"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bookmarkStart w:id="597" w:name="xdx_408_eus-gaap--ShareBasedCompensation"/>
            <w:bookmarkEnd w:id="597"/>
          </w:p>
        </w:tc>
      </w:tr>
      <w:tr>
        <w:trPr/>
        <w:tc>
          <w:tcPr>
            <w:tcW w:w="368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30</w:t>
            </w:r>
          </w:p>
        </w:tc>
        <w:tc>
          <w:tcPr>
            <w:tcW w:w="18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20" w:type="dxa"/>
            <w:tcBorders/>
            <w:shd w:fill="FFFFFF" w:val="clear"/>
            <w:vAlign w:val="center"/>
          </w:tcPr>
          <w:p>
            <w:pPr>
              <w:pStyle w:val="TableContents"/>
              <w:bidi w:val="0"/>
              <w:spacing w:before="0" w:after="283"/>
              <w:jc w:val="left"/>
              <w:rPr/>
            </w:pPr>
            <w:r>
              <w:rPr/>
              <w:t> </w:t>
            </w:r>
          </w:p>
        </w:tc>
        <w:tc>
          <w:tcPr>
            <w:tcW w:w="781"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1032" w:type="dxa"/>
            <w:tcBorders/>
            <w:shd w:fill="FFFFFF" w:val="clear"/>
            <w:vAlign w:val="center"/>
          </w:tcPr>
          <w:p>
            <w:pPr>
              <w:pStyle w:val="TableContents"/>
              <w:bidi w:val="0"/>
              <w:spacing w:before="0" w:after="283"/>
              <w:jc w:val="right"/>
              <w:rPr/>
            </w:pPr>
            <w:r>
              <w:rPr/>
              <w:t>38</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left"/>
              <w:rPr/>
            </w:pPr>
            <w:r>
              <w:rPr/>
              <w:t> </w:t>
            </w:r>
          </w:p>
        </w:tc>
        <w:tc>
          <w:tcPr>
            <w:tcW w:w="706"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bookmarkStart w:id="598" w:name="xdx_40C_eus-gaap--ShareBasedCompensation"/>
            <w:bookmarkEnd w:id="598"/>
          </w:p>
        </w:tc>
      </w:tr>
      <w:tr>
        <w:trPr/>
        <w:tc>
          <w:tcPr>
            <w:tcW w:w="368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4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pPr>
            <w:r>
              <w:rPr/>
              <w:t>118</w:t>
            </w:r>
          </w:p>
        </w:tc>
        <w:tc>
          <w:tcPr>
            <w:tcW w:w="18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42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81" w:type="dxa"/>
            <w:tcBorders>
              <w:bottom w:val="single" w:sz="8" w:space="0" w:color="000000"/>
            </w:tcBorders>
            <w:shd w:fill="CCEEFF" w:val="clear"/>
            <w:tcMar>
              <w:bottom w:w="28" w:type="dxa"/>
            </w:tcMar>
            <w:vAlign w:val="center"/>
          </w:tcPr>
          <w:p>
            <w:pPr>
              <w:pStyle w:val="TableContents"/>
              <w:bidi w:val="0"/>
              <w:spacing w:before="0" w:after="283"/>
              <w:jc w:val="right"/>
              <w:rPr/>
            </w:pPr>
            <w:r>
              <w:rPr/>
              <w:t>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32" w:type="dxa"/>
            <w:tcBorders>
              <w:bottom w:val="single" w:sz="8" w:space="0" w:color="000000"/>
            </w:tcBorders>
            <w:shd w:fill="CCEEFF" w:val="clear"/>
            <w:tcMar>
              <w:bottom w:w="28" w:type="dxa"/>
            </w:tcMar>
            <w:vAlign w:val="center"/>
          </w:tcPr>
          <w:p>
            <w:pPr>
              <w:pStyle w:val="TableContents"/>
              <w:bidi w:val="0"/>
              <w:spacing w:before="0" w:after="283"/>
              <w:jc w:val="right"/>
              <w:rPr/>
            </w:pPr>
            <w:r>
              <w:rPr/>
              <w:t>262</w:t>
            </w:r>
          </w:p>
        </w:tc>
        <w:tc>
          <w:tcPr>
            <w:tcW w:w="162"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3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06" w:type="dxa"/>
            <w:tcBorders>
              <w:bottom w:val="single" w:sz="8" w:space="0" w:color="000000"/>
            </w:tcBorders>
            <w:shd w:fill="CCEEFF" w:val="clear"/>
            <w:tcMar>
              <w:bottom w:w="28" w:type="dxa"/>
            </w:tcMar>
            <w:vAlign w:val="center"/>
          </w:tcPr>
          <w:p>
            <w:pPr>
              <w:pStyle w:val="TableContents"/>
              <w:bidi w:val="0"/>
              <w:spacing w:before="0" w:after="283"/>
              <w:jc w:val="right"/>
              <w:rPr/>
            </w:pPr>
            <w:r>
              <w:rPr/>
              <w:t>74</w:t>
            </w:r>
          </w:p>
        </w:tc>
        <w:tc>
          <w:tcPr>
            <w:tcW w:w="75" w:type="dxa"/>
            <w:tcBorders/>
            <w:shd w:fill="CCEEFF" w:val="clear"/>
            <w:vAlign w:val="center"/>
          </w:tcPr>
          <w:p>
            <w:pPr>
              <w:pStyle w:val="TableContents"/>
              <w:bidi w:val="0"/>
              <w:spacing w:before="0" w:after="283"/>
              <w:jc w:val="left"/>
              <w:rPr/>
            </w:pPr>
            <w:r>
              <w:rPr/>
              <w:t> </w:t>
            </w:r>
            <w:bookmarkStart w:id="599" w:name="xdx_40E_eus-gaap--ShareBasedCompensation"/>
            <w:bookmarkEnd w:id="599"/>
          </w:p>
        </w:tc>
      </w:tr>
      <w:tr>
        <w:trPr/>
        <w:tc>
          <w:tcPr>
            <w:tcW w:w="3680" w:type="dxa"/>
            <w:tcBorders/>
            <w:shd w:fill="FFFFFF" w:val="clear"/>
            <w:vAlign w:val="center"/>
          </w:tcPr>
          <w:p>
            <w:pPr>
              <w:pStyle w:val="TableContents"/>
              <w:bidi w:val="0"/>
              <w:spacing w:before="0" w:after="283"/>
              <w:jc w:val="left"/>
              <w:rPr>
                <w:b/>
              </w:rPr>
            </w:pPr>
            <w:r>
              <w:rPr>
                <w:b/>
              </w:rPr>
              <w:t>Stock-based compensation</w:t>
            </w:r>
          </w:p>
        </w:tc>
        <w:tc>
          <w:tcPr>
            <w:tcW w:w="60" w:type="dxa"/>
            <w:tcBorders/>
            <w:shd w:fill="FFFFFF" w:val="clear"/>
            <w:vAlign w:val="center"/>
          </w:tcPr>
          <w:p>
            <w:pPr>
              <w:pStyle w:val="TableContents"/>
              <w:bidi w:val="0"/>
              <w:spacing w:before="0" w:after="283"/>
              <w:jc w:val="left"/>
              <w:rPr/>
            </w:pPr>
            <w:r>
              <w:rPr/>
              <w:t> </w:t>
            </w:r>
          </w:p>
        </w:tc>
        <w:tc>
          <w:tcPr>
            <w:tcW w:w="42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1" w:type="dxa"/>
            <w:tcBorders>
              <w:bottom w:val="double" w:sz="6" w:space="0" w:color="000000"/>
            </w:tcBorders>
            <w:shd w:fill="FFFFFF" w:val="clear"/>
            <w:tcMar>
              <w:bottom w:w="28" w:type="dxa"/>
            </w:tcMar>
            <w:vAlign w:val="center"/>
          </w:tcPr>
          <w:p>
            <w:pPr>
              <w:pStyle w:val="TableContents"/>
              <w:bidi w:val="0"/>
              <w:spacing w:before="0" w:after="283"/>
              <w:jc w:val="right"/>
              <w:rPr/>
            </w:pPr>
            <w:r>
              <w:rPr/>
              <w:t>206</w:t>
            </w:r>
          </w:p>
        </w:tc>
        <w:tc>
          <w:tcPr>
            <w:tcW w:w="18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42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81" w:type="dxa"/>
            <w:tcBorders>
              <w:bottom w:val="double" w:sz="6" w:space="0" w:color="000000"/>
            </w:tcBorders>
            <w:shd w:fill="FFFFFF" w:val="clear"/>
            <w:tcMar>
              <w:bottom w:w="28" w:type="dxa"/>
            </w:tcMar>
            <w:vAlign w:val="center"/>
          </w:tcPr>
          <w:p>
            <w:pPr>
              <w:pStyle w:val="TableContents"/>
              <w:bidi w:val="0"/>
              <w:spacing w:before="0" w:after="283"/>
              <w:jc w:val="right"/>
              <w:rPr/>
            </w:pPr>
            <w:r>
              <w:rPr/>
              <w:t>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32" w:type="dxa"/>
            <w:tcBorders>
              <w:bottom w:val="double" w:sz="6" w:space="0" w:color="000000"/>
            </w:tcBorders>
            <w:shd w:fill="FFFFFF" w:val="clear"/>
            <w:tcMar>
              <w:bottom w:w="28" w:type="dxa"/>
            </w:tcMar>
            <w:vAlign w:val="center"/>
          </w:tcPr>
          <w:p>
            <w:pPr>
              <w:pStyle w:val="TableContents"/>
              <w:bidi w:val="0"/>
              <w:spacing w:before="0" w:after="283"/>
              <w:jc w:val="right"/>
              <w:rPr/>
            </w:pPr>
            <w:r>
              <w:rPr/>
              <w:t>444</w:t>
            </w:r>
          </w:p>
        </w:tc>
        <w:tc>
          <w:tcPr>
            <w:tcW w:w="162"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06" w:type="dxa"/>
            <w:tcBorders>
              <w:bottom w:val="double" w:sz="6" w:space="0" w:color="000000"/>
            </w:tcBorders>
            <w:shd w:fill="FFFFFF" w:val="clear"/>
            <w:tcMar>
              <w:bottom w:w="28" w:type="dxa"/>
            </w:tcMar>
            <w:vAlign w:val="center"/>
          </w:tcPr>
          <w:p>
            <w:pPr>
              <w:pStyle w:val="TableContents"/>
              <w:bidi w:val="0"/>
              <w:spacing w:before="0" w:after="283"/>
              <w:jc w:val="right"/>
              <w:rPr/>
            </w:pPr>
            <w:r>
              <w:rPr/>
              <w:t>74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554"/>
        <w:jc w:val="left"/>
        <w:rPr>
          <w:caps w:val="false"/>
          <w:smallCaps w:val="false"/>
        </w:rPr>
      </w:pPr>
      <w:bookmarkStart w:id="600" w:name="xdx_233_zTtcwbfbTYni"/>
      <w:bookmarkEnd w:id="600"/>
      <w:r>
        <w:rPr>
          <w:caps w:val="false"/>
          <w:smallCaps w:val="false"/>
        </w:rPr>
        <w:t> </w:t>
      </w:r>
    </w:p>
    <w:p>
      <w:pPr>
        <w:pStyle w:val="TextBody"/>
        <w:bidi w:val="0"/>
        <w:spacing w:before="0" w:after="0"/>
        <w:ind w:left="0" w:right="0" w:firstLine="554"/>
        <w:jc w:val="left"/>
        <w:rPr>
          <w:caps w:val="false"/>
          <w:smallCaps w:val="false"/>
        </w:rPr>
      </w:pPr>
      <w:bookmarkStart w:id="601" w:name="xdx_23E_z13e8Bg34ML3"/>
      <w:bookmarkEnd w:id="601"/>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554"/>
        <w:jc w:val="left"/>
        <w:rPr>
          <w:caps w:val="false"/>
          <w:smallCaps w:val="false"/>
        </w:rPr>
      </w:pPr>
      <w:bookmarkStart w:id="602" w:name="xdx_23C_zSdLagDMuDfe"/>
      <w:bookmarkEnd w:id="602"/>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03" w:name="xdx_80F_eus-gaap--SegmentReportingDisclo"/>
      <w:bookmarkEnd w:id="603"/>
      <w:r>
        <w:rPr>
          <w:rFonts w:ascii="Times New Roman;Times;Serif" w:hAnsi="Times New Roman;Times;Serif"/>
          <w:b/>
          <w:i w:val="false"/>
          <w:caps w:val="false"/>
          <w:smallCaps w:val="false"/>
          <w:sz w:val="20"/>
        </w:rPr>
        <w:t xml:space="preserve">10. </w:t>
      </w:r>
      <w:bookmarkStart w:id="604" w:name="xdx_82A_ziwrZjZ2JdUl"/>
      <w:bookmarkEnd w:id="604"/>
      <w:r>
        <w:rPr>
          <w:rFonts w:ascii="Times New Roman;Times;Serif" w:hAnsi="Times New Roman;Times;Serif"/>
          <w:b/>
          <w:i w:val="false"/>
          <w:caps w:val="false"/>
          <w:smallCaps w:val="false"/>
          <w:sz w:val="20"/>
        </w:rPr>
        <w:t>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operates and manages its business activities on a consolidated basis and operates in a </w:t>
      </w:r>
      <w:bookmarkStart w:id="605" w:name="xdx_902_eus-gaap--NumberOfOperatingSegme"/>
      <w:bookmarkStart w:id="606" w:name="xdx_90B_eus-gaap--NumberOfReportableSegm"/>
      <w:bookmarkEnd w:id="605"/>
      <w:bookmarkEnd w:id="606"/>
      <w:r>
        <w:rPr>
          <w:rFonts w:ascii="Times New Roman;Times;Serif" w:hAnsi="Times New Roman;Times;Serif"/>
          <w:b w:val="false"/>
          <w:i w:val="false"/>
          <w:caps w:val="false"/>
          <w:smallCaps w:val="false"/>
          <w:sz w:val="20"/>
        </w:rPr>
        <w:t>single reportable and operating segment. The Company’s Chief Executive Officer, serving as the Chief Operating Decision Maker (“CODM”), oversees operations on an aggregated basis to allocate resources effectively. In assessing the Company’s financial performance, the CODM regularly reviews consolidated net income (loss).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relies on consolidated net loss as a comprehensive measure of the Company, considering all revenues and expenses, including cost of revenue, employee compensation, stock-based compensation, legal and professional fees, and consulting costs. Other operating expenses include all remaining costs necessary to operate our business and primarily include advertising, corporate compliance, and overhead expenses. Additionally, the CODM also reviews total assets to assess the Company’s financial position and resource allocation. The measure of segment assets is reported on the condensed consolidated balance sheet as total consolidated assets. The Company’s long-lived assets consist primarily of property and equipment, net. As of June 30, 2026, the Company does not have material long-term assets outside the 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significant segment expenses and other segment items regularly reviewed by our CODM:</w:t>
      </w:r>
    </w:p>
    <w:p>
      <w:pPr>
        <w:pStyle w:val="Normal"/>
        <w:bidi w:val="0"/>
        <w:spacing w:before="0" w:after="0"/>
        <w:jc w:val="left"/>
        <w:rPr>
          <w:sz w:val="4"/>
          <w:szCs w:val="4"/>
        </w:rPr>
      </w:pPr>
      <w:r>
        <w:rPr>
          <w:sz w:val="4"/>
          <w:szCs w:val="4"/>
        </w:rPr>
      </w:r>
      <w:bookmarkStart w:id="607" w:name="xdx_897_eus-gaap--ScheduleOfSegmentRepor"/>
      <w:bookmarkStart w:id="608" w:name="xdx_897_eus-gaap--ScheduleOfSegmentRepor"/>
      <w:bookmarkEnd w:id="608"/>
    </w:p>
    <w:tbl>
      <w:tblPr>
        <w:tblW w:w="7423" w:type="dxa"/>
        <w:jc w:val="left"/>
        <w:tblInd w:w="0" w:type="dxa"/>
        <w:tblLayout w:type="fixed"/>
        <w:tblCellMar>
          <w:top w:w="0" w:type="dxa"/>
          <w:left w:w="0" w:type="dxa"/>
          <w:bottom w:w="0" w:type="dxa"/>
          <w:right w:w="0" w:type="dxa"/>
        </w:tblCellMar>
      </w:tblPr>
      <w:tblGrid>
        <w:gridCol w:w="3560"/>
        <w:gridCol w:w="60"/>
        <w:gridCol w:w="168"/>
        <w:gridCol w:w="764"/>
        <w:gridCol w:w="114"/>
        <w:gridCol w:w="72"/>
        <w:gridCol w:w="168"/>
        <w:gridCol w:w="547"/>
        <w:gridCol w:w="95"/>
        <w:gridCol w:w="60"/>
        <w:gridCol w:w="140"/>
        <w:gridCol w:w="635"/>
        <w:gridCol w:w="95"/>
        <w:gridCol w:w="60"/>
        <w:gridCol w:w="140"/>
        <w:gridCol w:w="635"/>
        <w:gridCol w:w="110"/>
      </w:tblGrid>
      <w:tr>
        <w:trPr/>
        <w:tc>
          <w:tcPr>
            <w:tcW w:w="3560" w:type="dxa"/>
            <w:tcBorders/>
            <w:vAlign w:val="center"/>
          </w:tcPr>
          <w:p>
            <w:pPr>
              <w:pStyle w:val="TableContents"/>
              <w:bidi w:val="0"/>
              <w:spacing w:before="0" w:after="283"/>
              <w:jc w:val="left"/>
              <w:rPr/>
            </w:pPr>
            <w:bookmarkStart w:id="609" w:name="xdx_8B4_z784aSdurhM7"/>
            <w:bookmarkEnd w:id="609"/>
            <w:r>
              <w:rPr/>
              <w:t>Schedule of segment information</w:t>
            </w:r>
          </w:p>
        </w:tc>
        <w:tc>
          <w:tcPr>
            <w:tcW w:w="60"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bookmarkStart w:id="610" w:name="xdx_49B_20260401__20260630__us-gaap--Sta"/>
            <w:bookmarkEnd w:id="610"/>
          </w:p>
        </w:tc>
        <w:tc>
          <w:tcPr>
            <w:tcW w:w="764" w:type="dxa"/>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68" w:type="dxa"/>
            <w:tcBorders/>
            <w:vAlign w:val="center"/>
          </w:tcPr>
          <w:p>
            <w:pPr>
              <w:pStyle w:val="TableContents"/>
              <w:bidi w:val="0"/>
              <w:spacing w:before="0" w:after="283"/>
              <w:jc w:val="left"/>
              <w:rPr/>
            </w:pPr>
            <w:r>
              <w:rPr/>
              <w:t> </w:t>
            </w:r>
            <w:bookmarkStart w:id="611" w:name="xdx_49A_20250401__20250630__us-gaap--Sta"/>
            <w:bookmarkEnd w:id="611"/>
          </w:p>
        </w:tc>
        <w:tc>
          <w:tcPr>
            <w:tcW w:w="547"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 </w:t>
            </w:r>
            <w:bookmarkStart w:id="612" w:name="xdx_493_20260101__20260630__us-gaap--Sta"/>
            <w:bookmarkEnd w:id="612"/>
          </w:p>
        </w:tc>
        <w:tc>
          <w:tcPr>
            <w:tcW w:w="635"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bookmarkStart w:id="613" w:name="xdx_498_20250101__20250630__us-gaap--Sta"/>
            <w:bookmarkEnd w:id="613"/>
          </w:p>
        </w:tc>
        <w:tc>
          <w:tcPr>
            <w:tcW w:w="635" w:type="dxa"/>
            <w:tcBorders/>
            <w:vAlign w:val="center"/>
          </w:tcPr>
          <w:p>
            <w:pPr>
              <w:pStyle w:val="TableContents"/>
              <w:bidi w:val="0"/>
              <w:spacing w:before="0" w:after="283"/>
              <w:jc w:val="center"/>
              <w:rPr/>
            </w:pPr>
            <w:r>
              <w:rPr/>
              <w:t> </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33"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Three Months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Six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June 30,</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3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2" w:type="dxa"/>
            <w:gridSpan w:val="2"/>
            <w:tcBorders/>
            <w:vAlign w:val="center"/>
          </w:tcPr>
          <w:p>
            <w:pPr>
              <w:pStyle w:val="TableContents"/>
              <w:bidi w:val="0"/>
              <w:spacing w:before="0" w:after="283"/>
              <w:jc w:val="both"/>
              <w:rPr/>
            </w:pPr>
            <w:r>
              <w:rPr/>
              <w:t> </w:t>
            </w:r>
          </w:p>
        </w:tc>
        <w:tc>
          <w:tcPr>
            <w:tcW w:w="114"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71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283"/>
              <w:jc w:val="left"/>
              <w:rPr/>
            </w:pPr>
            <w:r>
              <w:rPr/>
              <w:t> </w:t>
            </w:r>
            <w:bookmarkStart w:id="614" w:name="xdx_40E_eus-gaap--OperatingExpensesAbstr"/>
            <w:bookmarkEnd w:id="614"/>
          </w:p>
        </w:tc>
      </w:tr>
      <w:tr>
        <w:trPr/>
        <w:tc>
          <w:tcPr>
            <w:tcW w:w="3560" w:type="dxa"/>
            <w:tcBorders/>
            <w:shd w:fill="CCEEFF" w:val="clear"/>
            <w:vAlign w:val="center"/>
          </w:tcPr>
          <w:p>
            <w:pPr>
              <w:pStyle w:val="TableContents"/>
              <w:bidi w:val="0"/>
              <w:spacing w:before="0" w:after="283"/>
              <w:jc w:val="left"/>
              <w:rPr>
                <w:b/>
              </w:rPr>
            </w:pPr>
            <w:r>
              <w:rPr>
                <w:b/>
              </w:rPr>
              <w:t>Operating expenses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 </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bookmarkStart w:id="615" w:name="xdx_40D_eus-gaap--EmployeeBenefitsAndSha"/>
            <w:bookmarkEnd w:id="615"/>
          </w:p>
        </w:tc>
      </w:tr>
      <w:tr>
        <w:trPr/>
        <w:tc>
          <w:tcPr>
            <w:tcW w:w="3560" w:type="dxa"/>
            <w:tcBorders/>
            <w:shd w:fill="FFFFFF" w:val="clear"/>
            <w:vAlign w:val="center"/>
          </w:tcPr>
          <w:p>
            <w:pPr>
              <w:pStyle w:val="TableContents"/>
              <w:bidi w:val="0"/>
              <w:spacing w:before="0" w:after="283"/>
              <w:jc w:val="left"/>
              <w:rPr/>
            </w:pPr>
            <w:r>
              <w:rPr/>
              <w:t>Employee compensation and benefits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516</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w:t>
            </w:r>
          </w:p>
        </w:tc>
        <w:tc>
          <w:tcPr>
            <w:tcW w:w="547" w:type="dxa"/>
            <w:tcBorders/>
            <w:shd w:fill="FFFFFF" w:val="clear"/>
            <w:vAlign w:val="center"/>
          </w:tcPr>
          <w:p>
            <w:pPr>
              <w:pStyle w:val="TableContents"/>
              <w:bidi w:val="0"/>
              <w:spacing w:before="0" w:after="283"/>
              <w:jc w:val="right"/>
              <w:rPr/>
            </w:pPr>
            <w:r>
              <w:rPr/>
              <w:t>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729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155</w:t>
            </w:r>
          </w:p>
        </w:tc>
        <w:tc>
          <w:tcPr>
            <w:tcW w:w="110" w:type="dxa"/>
            <w:tcBorders/>
            <w:shd w:fill="FFFFFF" w:val="clear"/>
            <w:vAlign w:val="center"/>
          </w:tcPr>
          <w:p>
            <w:pPr>
              <w:pStyle w:val="TableContents"/>
              <w:bidi w:val="0"/>
              <w:spacing w:before="0" w:after="283"/>
              <w:jc w:val="left"/>
              <w:rPr/>
            </w:pPr>
            <w:r>
              <w:rPr/>
              <w:t> </w:t>
            </w:r>
            <w:bookmarkStart w:id="616" w:name="xdx_40A_eus-gaap--ShareBasedCompensation"/>
            <w:bookmarkEnd w:id="616"/>
          </w:p>
        </w:tc>
      </w:tr>
      <w:tr>
        <w:trPr/>
        <w:tc>
          <w:tcPr>
            <w:tcW w:w="3560" w:type="dxa"/>
            <w:tcBorders/>
            <w:shd w:fill="CCEEFF" w:val="clear"/>
            <w:vAlign w:val="center"/>
          </w:tcPr>
          <w:p>
            <w:pPr>
              <w:pStyle w:val="TableContents"/>
              <w:bidi w:val="0"/>
              <w:spacing w:before="0" w:after="283"/>
              <w:jc w:val="left"/>
              <w:rPr/>
            </w:pPr>
            <w:r>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207</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pPr>
            <w:r>
              <w:rPr/>
              <w:t>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444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74</w:t>
            </w:r>
          </w:p>
        </w:tc>
        <w:tc>
          <w:tcPr>
            <w:tcW w:w="110" w:type="dxa"/>
            <w:tcBorders/>
            <w:shd w:fill="CCEEFF" w:val="clear"/>
            <w:vAlign w:val="center"/>
          </w:tcPr>
          <w:p>
            <w:pPr>
              <w:pStyle w:val="TableContents"/>
              <w:bidi w:val="0"/>
              <w:spacing w:before="0" w:after="283"/>
              <w:jc w:val="left"/>
              <w:rPr/>
            </w:pPr>
            <w:r>
              <w:rPr/>
              <w:t> </w:t>
            </w:r>
            <w:bookmarkStart w:id="617" w:name="xdx_40F_eus-gaap--ProfessionalFees_zk19b"/>
            <w:bookmarkEnd w:id="617"/>
          </w:p>
        </w:tc>
      </w:tr>
      <w:tr>
        <w:trPr/>
        <w:tc>
          <w:tcPr>
            <w:tcW w:w="3560" w:type="dxa"/>
            <w:tcBorders/>
            <w:shd w:fill="FFFFFF" w:val="clear"/>
            <w:vAlign w:val="center"/>
          </w:tcPr>
          <w:p>
            <w:pPr>
              <w:pStyle w:val="TableContents"/>
              <w:bidi w:val="0"/>
              <w:spacing w:before="0" w:after="283"/>
              <w:jc w:val="left"/>
              <w:rPr/>
            </w:pPr>
            <w:r>
              <w:rPr/>
              <w:t>Legal and professional fees</w:t>
            </w:r>
          </w:p>
        </w:tc>
        <w:tc>
          <w:tcPr>
            <w:tcW w:w="60"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764" w:type="dxa"/>
            <w:tcBorders/>
            <w:shd w:fill="FFFFFF" w:val="clear"/>
            <w:vAlign w:val="center"/>
          </w:tcPr>
          <w:p>
            <w:pPr>
              <w:pStyle w:val="TableContents"/>
              <w:bidi w:val="0"/>
              <w:spacing w:before="0" w:after="283"/>
              <w:jc w:val="right"/>
              <w:rPr/>
            </w:pPr>
            <w:r>
              <w:rPr/>
              <w:t>378</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shd w:fill="FFFFFF" w:val="clear"/>
            <w:vAlign w:val="center"/>
          </w:tcPr>
          <w:p>
            <w:pPr>
              <w:pStyle w:val="TableContents"/>
              <w:bidi w:val="0"/>
              <w:spacing w:before="0" w:after="283"/>
              <w:jc w:val="left"/>
              <w:rPr/>
            </w:pPr>
            <w:r>
              <w:rPr/>
              <w:t> </w:t>
            </w:r>
          </w:p>
        </w:tc>
        <w:tc>
          <w:tcPr>
            <w:tcW w:w="547" w:type="dxa"/>
            <w:tcBorders/>
            <w:shd w:fill="FFFFFF" w:val="clear"/>
            <w:vAlign w:val="center"/>
          </w:tcPr>
          <w:p>
            <w:pPr>
              <w:pStyle w:val="TableContents"/>
              <w:bidi w:val="0"/>
              <w:spacing w:before="0" w:after="283"/>
              <w:jc w:val="right"/>
              <w:rPr/>
            </w:pPr>
            <w:r>
              <w:rPr/>
              <w:t>124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711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126</w:t>
            </w:r>
          </w:p>
        </w:tc>
        <w:tc>
          <w:tcPr>
            <w:tcW w:w="110" w:type="dxa"/>
            <w:tcBorders/>
            <w:shd w:fill="FFFFFF" w:val="clear"/>
            <w:vAlign w:val="center"/>
          </w:tcPr>
          <w:p>
            <w:pPr>
              <w:pStyle w:val="TableContents"/>
              <w:bidi w:val="0"/>
              <w:spacing w:before="0" w:after="283"/>
              <w:jc w:val="left"/>
              <w:rPr/>
            </w:pPr>
            <w:r>
              <w:rPr/>
              <w:t> </w:t>
            </w:r>
            <w:bookmarkStart w:id="618" w:name="xdx_40A_ecustom--ConsultingCosts_zTrXYle"/>
            <w:bookmarkEnd w:id="618"/>
          </w:p>
        </w:tc>
      </w:tr>
      <w:tr>
        <w:trPr/>
        <w:tc>
          <w:tcPr>
            <w:tcW w:w="3560" w:type="dxa"/>
            <w:tcBorders/>
            <w:shd w:fill="CCEEFF" w:val="clear"/>
            <w:vAlign w:val="center"/>
          </w:tcPr>
          <w:p>
            <w:pPr>
              <w:pStyle w:val="TableContents"/>
              <w:bidi w:val="0"/>
              <w:spacing w:before="0" w:after="283"/>
              <w:jc w:val="left"/>
              <w:rPr/>
            </w:pPr>
            <w:r>
              <w:rPr/>
              <w:t>Consulting costs</w:t>
            </w:r>
          </w:p>
        </w:tc>
        <w:tc>
          <w:tcPr>
            <w:tcW w:w="60"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764" w:type="dxa"/>
            <w:tcBorders/>
            <w:shd w:fill="CCEEFF" w:val="clear"/>
            <w:vAlign w:val="center"/>
          </w:tcPr>
          <w:p>
            <w:pPr>
              <w:pStyle w:val="TableContents"/>
              <w:bidi w:val="0"/>
              <w:spacing w:before="0" w:after="283"/>
              <w:jc w:val="right"/>
              <w:rPr/>
            </w:pPr>
            <w:r>
              <w:rPr/>
              <w:t>173</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shd w:fill="CCEEFF" w:val="clear"/>
            <w:vAlign w:val="center"/>
          </w:tcPr>
          <w:p>
            <w:pPr>
              <w:pStyle w:val="TableContents"/>
              <w:bidi w:val="0"/>
              <w:spacing w:before="0" w:after="283"/>
              <w:jc w:val="left"/>
              <w:rPr/>
            </w:pPr>
            <w:r>
              <w:rPr/>
              <w:t> </w:t>
            </w:r>
          </w:p>
        </w:tc>
        <w:tc>
          <w:tcPr>
            <w:tcW w:w="547" w:type="dxa"/>
            <w:tcBorders/>
            <w:shd w:fill="CCEEFF" w:val="clear"/>
            <w:vAlign w:val="center"/>
          </w:tcPr>
          <w:p>
            <w:pPr>
              <w:pStyle w:val="TableContents"/>
              <w:bidi w:val="0"/>
              <w:spacing w:before="0" w:after="283"/>
              <w:jc w:val="right"/>
              <w:rPr/>
            </w:pPr>
            <w:r>
              <w:rPr/>
              <w:t>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14</w:t>
            </w:r>
          </w:p>
        </w:tc>
        <w:tc>
          <w:tcPr>
            <w:tcW w:w="110" w:type="dxa"/>
            <w:tcBorders/>
            <w:shd w:fill="CCEEFF" w:val="clear"/>
            <w:vAlign w:val="center"/>
          </w:tcPr>
          <w:p>
            <w:pPr>
              <w:pStyle w:val="TableContents"/>
              <w:bidi w:val="0"/>
              <w:spacing w:before="0" w:after="283"/>
              <w:jc w:val="left"/>
              <w:rPr/>
            </w:pPr>
            <w:r>
              <w:rPr/>
              <w:t> </w:t>
            </w:r>
            <w:bookmarkStart w:id="619" w:name="xdx_406_eus-gaap--OtherCostAndExpenseOpe"/>
            <w:bookmarkEnd w:id="619"/>
          </w:p>
        </w:tc>
      </w:tr>
      <w:tr>
        <w:trPr/>
        <w:tc>
          <w:tcPr>
            <w:tcW w:w="3560" w:type="dxa"/>
            <w:tcBorders/>
            <w:shd w:fill="FFFFFF" w:val="clear"/>
            <w:vAlign w:val="center"/>
          </w:tcPr>
          <w:p>
            <w:pPr>
              <w:pStyle w:val="TableContents"/>
              <w:bidi w:val="0"/>
              <w:spacing w:before="0" w:after="283"/>
              <w:jc w:val="left"/>
              <w:rPr/>
            </w:pPr>
            <w:r>
              <w:rPr/>
              <w:t>Other operating expenses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FFFFFF" w:val="clear"/>
            <w:tcMar>
              <w:bottom w:w="28" w:type="dxa"/>
            </w:tcMar>
            <w:vAlign w:val="center"/>
          </w:tcPr>
          <w:p>
            <w:pPr>
              <w:pStyle w:val="TableContents"/>
              <w:bidi w:val="0"/>
              <w:spacing w:before="0" w:after="283"/>
              <w:jc w:val="right"/>
              <w:rPr/>
            </w:pPr>
            <w:r>
              <w:rPr/>
              <w:t>353</w:t>
            </w:r>
          </w:p>
        </w:tc>
        <w:tc>
          <w:tcPr>
            <w:tcW w:w="114"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6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47" w:type="dxa"/>
            <w:tcBorders>
              <w:bottom w:val="single" w:sz="8" w:space="0" w:color="000000"/>
            </w:tcBorders>
            <w:shd w:fill="FFFFFF" w:val="clear"/>
            <w:tcMar>
              <w:bottom w:w="28" w:type="dxa"/>
            </w:tcMar>
            <w:vAlign w:val="center"/>
          </w:tcPr>
          <w:p>
            <w:pPr>
              <w:pStyle w:val="TableContents"/>
              <w:bidi w:val="0"/>
              <w:spacing w:before="0" w:after="283"/>
              <w:jc w:val="right"/>
              <w:rPr/>
            </w:pPr>
            <w:r>
              <w:rPr/>
              <w:t>326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592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895</w:t>
            </w:r>
          </w:p>
        </w:tc>
        <w:tc>
          <w:tcPr>
            <w:tcW w:w="110" w:type="dxa"/>
            <w:tcBorders/>
            <w:shd w:fill="FFFFFF" w:val="clear"/>
            <w:vAlign w:val="center"/>
          </w:tcPr>
          <w:p>
            <w:pPr>
              <w:pStyle w:val="TableContents"/>
              <w:bidi w:val="0"/>
              <w:spacing w:before="0" w:after="283"/>
              <w:jc w:val="left"/>
              <w:rPr/>
            </w:pPr>
            <w:r>
              <w:rPr/>
              <w:t> </w:t>
            </w:r>
            <w:bookmarkStart w:id="620" w:name="xdx_407_eus-gaap--OperatingExpenses_zm5w"/>
            <w:bookmarkEnd w:id="620"/>
          </w:p>
        </w:tc>
      </w:tr>
      <w:tr>
        <w:trPr/>
        <w:tc>
          <w:tcPr>
            <w:tcW w:w="3560" w:type="dxa"/>
            <w:tcBorders/>
            <w:shd w:fill="CCEEFF" w:val="clear"/>
            <w:vAlign w:val="center"/>
          </w:tcPr>
          <w:p>
            <w:pPr>
              <w:pStyle w:val="TableContents"/>
              <w:bidi w:val="0"/>
              <w:spacing w:before="0" w:after="283"/>
              <w:jc w:val="left"/>
              <w:rPr/>
            </w:pPr>
            <w:r>
              <w:rPr/>
              <w:t>Total operating expenses</w:t>
            </w:r>
          </w:p>
        </w:tc>
        <w:tc>
          <w:tcPr>
            <w:tcW w:w="60"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64" w:type="dxa"/>
            <w:tcBorders>
              <w:bottom w:val="single" w:sz="8" w:space="0" w:color="000000"/>
            </w:tcBorders>
            <w:shd w:fill="CCEEFF" w:val="clear"/>
            <w:tcMar>
              <w:bottom w:w="28" w:type="dxa"/>
            </w:tcMar>
            <w:vAlign w:val="center"/>
          </w:tcPr>
          <w:p>
            <w:pPr>
              <w:pStyle w:val="TableContents"/>
              <w:bidi w:val="0"/>
              <w:spacing w:before="0" w:after="283"/>
              <w:jc w:val="right"/>
              <w:rPr/>
            </w:pPr>
            <w:r>
              <w:rPr/>
              <w:t>1,627</w:t>
            </w:r>
          </w:p>
        </w:tc>
        <w:tc>
          <w:tcPr>
            <w:tcW w:w="114"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47" w:type="dxa"/>
            <w:tcBorders>
              <w:bottom w:val="single" w:sz="8" w:space="0" w:color="000000"/>
            </w:tcBorders>
            <w:shd w:fill="CCEEFF" w:val="clear"/>
            <w:tcMar>
              <w:bottom w:w="28" w:type="dxa"/>
            </w:tcMar>
            <w:vAlign w:val="center"/>
          </w:tcPr>
          <w:p>
            <w:pPr>
              <w:pStyle w:val="TableContents"/>
              <w:bidi w:val="0"/>
              <w:spacing w:before="0" w:after="283"/>
              <w:jc w:val="right"/>
              <w:rPr/>
            </w:pPr>
            <w:r>
              <w:rPr/>
              <w:t>584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2,824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1,264</w:t>
            </w:r>
          </w:p>
        </w:tc>
        <w:tc>
          <w:tcPr>
            <w:tcW w:w="110" w:type="dxa"/>
            <w:tcBorders/>
            <w:shd w:fill="CCEEFF" w:val="clear"/>
            <w:vAlign w:val="center"/>
          </w:tcPr>
          <w:p>
            <w:pPr>
              <w:pStyle w:val="TableContents"/>
              <w:bidi w:val="0"/>
              <w:spacing w:before="0" w:after="283"/>
              <w:jc w:val="left"/>
              <w:rPr/>
            </w:pPr>
            <w:r>
              <w:rPr/>
              <w:t> </w:t>
            </w:r>
            <w:bookmarkStart w:id="621" w:name="xdx_400_eus-gaap--OperatingIncomeLoss_zb"/>
            <w:bookmarkEnd w:id="621"/>
          </w:p>
        </w:tc>
      </w:tr>
      <w:tr>
        <w:trPr/>
        <w:tc>
          <w:tcPr>
            <w:tcW w:w="3560" w:type="dxa"/>
            <w:tcBorders/>
            <w:shd w:fill="FFFFFF" w:val="clear"/>
            <w:vAlign w:val="center"/>
          </w:tcPr>
          <w:p>
            <w:pPr>
              <w:pStyle w:val="TableContents"/>
              <w:bidi w:val="0"/>
              <w:spacing w:before="0" w:after="283"/>
              <w:jc w:val="left"/>
              <w:rPr>
                <w:b/>
              </w:rPr>
            </w:pPr>
            <w:r>
              <w:rPr>
                <w:b/>
              </w:rPr>
              <w:t>Loss from operations</w:t>
            </w:r>
          </w:p>
        </w:tc>
        <w:tc>
          <w:tcPr>
            <w:tcW w:w="60"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64" w:type="dxa"/>
            <w:tcBorders>
              <w:bottom w:val="double" w:sz="6" w:space="0" w:color="000000"/>
            </w:tcBorders>
            <w:shd w:fill="FFFFFF" w:val="clear"/>
            <w:tcMar>
              <w:bottom w:w="28" w:type="dxa"/>
            </w:tcMar>
            <w:vAlign w:val="center"/>
          </w:tcPr>
          <w:p>
            <w:pPr>
              <w:pStyle w:val="TableContents"/>
              <w:bidi w:val="0"/>
              <w:spacing w:before="0" w:after="283"/>
              <w:jc w:val="right"/>
              <w:rPr/>
            </w:pPr>
            <w:r>
              <w:rPr/>
              <w:t>(1,627</w:t>
            </w:r>
          </w:p>
        </w:tc>
        <w:tc>
          <w:tcPr>
            <w:tcW w:w="114" w:type="dxa"/>
            <w:tcBorders/>
            <w:shd w:fill="FFFFFF" w:val="clear"/>
            <w:vAlign w:val="center"/>
          </w:tcPr>
          <w:p>
            <w:pPr>
              <w:pStyle w:val="TableContents"/>
              <w:bidi w:val="0"/>
              <w:spacing w:before="0" w:after="283"/>
              <w:jc w:val="left"/>
              <w:rPr/>
            </w:pPr>
            <w:r>
              <w:rPr/>
              <w:t>)</w:t>
            </w:r>
          </w:p>
        </w:tc>
        <w:tc>
          <w:tcPr>
            <w:tcW w:w="72" w:type="dxa"/>
            <w:tcBorders/>
            <w:shd w:fill="FFFFFF" w:val="clear"/>
            <w:vAlign w:val="center"/>
          </w:tcPr>
          <w:p>
            <w:pPr>
              <w:pStyle w:val="TableContents"/>
              <w:bidi w:val="0"/>
              <w:spacing w:before="0" w:after="283"/>
              <w:jc w:val="left"/>
              <w:rPr/>
            </w:pPr>
            <w:r>
              <w:rPr/>
              <w:t> </w:t>
            </w:r>
          </w:p>
        </w:tc>
        <w:tc>
          <w:tcPr>
            <w:tcW w:w="16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47" w:type="dxa"/>
            <w:tcBorders>
              <w:bottom w:val="double" w:sz="6" w:space="0" w:color="000000"/>
            </w:tcBorders>
            <w:shd w:fill="FFFFFF" w:val="clear"/>
            <w:tcMar>
              <w:bottom w:w="28" w:type="dxa"/>
            </w:tcMar>
            <w:vAlign w:val="center"/>
          </w:tcPr>
          <w:p>
            <w:pPr>
              <w:pStyle w:val="TableContents"/>
              <w:bidi w:val="0"/>
              <w:spacing w:before="0" w:after="283"/>
              <w:jc w:val="right"/>
              <w:rPr/>
            </w:pPr>
            <w:r>
              <w:rPr/>
              <w:t>(584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(2,824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(1,264</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bookmarkStart w:id="622" w:name="xdx_8A9_z927CzzNC6Z7"/>
      <w:bookmarkEnd w:id="622"/>
      <w:r>
        <w:rPr>
          <w:caps w:val="false"/>
          <w:smallCaps w:val="false"/>
        </w:rPr>
        <w:t> </w:t>
      </w:r>
    </w:p>
    <w:p>
      <w:pPr>
        <w:pStyle w:val="TextBody"/>
        <w:bidi w:val="0"/>
        <w:spacing w:before="0" w:after="0"/>
        <w:ind w:left="0" w:right="0" w:hanging="0"/>
        <w:jc w:val="left"/>
        <w:rPr>
          <w:caps w:val="false"/>
          <w:smallCaps w:val="false"/>
        </w:rPr>
      </w:pPr>
      <w:bookmarkStart w:id="623" w:name="xdx_231_zDQ0ZtHtQU2b"/>
      <w:bookmarkEnd w:id="623"/>
      <w:r>
        <w:rPr>
          <w:caps w:val="false"/>
          <w:smallCaps w:val="false"/>
        </w:rPr>
        <w:t> </w:t>
      </w:r>
    </w:p>
    <w:p>
      <w:pPr>
        <w:pStyle w:val="TextBody"/>
        <w:bidi w:val="0"/>
        <w:spacing w:before="0" w:after="0"/>
        <w:ind w:left="0" w:right="0" w:hanging="0"/>
        <w:jc w:val="left"/>
        <w:rPr>
          <w:caps w:val="false"/>
          <w:smallCaps w:val="false"/>
        </w:rPr>
      </w:pPr>
      <w:bookmarkStart w:id="624" w:name="xdx_230_zuxP8x5GeMj1"/>
      <w:bookmarkEnd w:id="624"/>
      <w:r>
        <w:rPr>
          <w:caps w:val="false"/>
          <w:smallCaps w:val="false"/>
        </w:rPr>
        <w:t> </w:t>
      </w:r>
    </w:p>
    <w:p>
      <w:pPr>
        <w:pStyle w:val="TextBody"/>
        <w:bidi w:val="0"/>
        <w:spacing w:before="0" w:after="0"/>
        <w:ind w:left="0" w:right="0" w:hanging="0"/>
        <w:jc w:val="left"/>
        <w:rPr>
          <w:caps w:val="false"/>
          <w:smallCaps w:val="false"/>
        </w:rPr>
      </w:pPr>
      <w:bookmarkStart w:id="625" w:name="xdx_236_zMuL8VUP7g49"/>
      <w:bookmarkEnd w:id="625"/>
      <w:r>
        <w:rPr>
          <w:caps w:val="false"/>
          <w:smallCaps w:val="false"/>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caps w:val="false"/>
          <w:smallCaps w:val="false"/>
        </w:rPr>
      </w:pPr>
      <w:bookmarkStart w:id="626" w:name="xdx_238_zYozimvCtGVc"/>
      <w:bookmarkEnd w:id="626"/>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27" w:name="xdx_808_eus-gaap--EarningsPerShareTextBl"/>
      <w:bookmarkEnd w:id="627"/>
      <w:r>
        <w:rPr>
          <w:rFonts w:ascii="Times New Roman;Times;Serif" w:hAnsi="Times New Roman;Times;Serif"/>
          <w:b/>
          <w:i w:val="false"/>
          <w:caps w:val="false"/>
          <w:smallCaps w:val="false"/>
          <w:sz w:val="20"/>
        </w:rPr>
        <w:t xml:space="preserve">11. </w:t>
      </w:r>
      <w:bookmarkStart w:id="628" w:name="xdx_821_zG4KZSUZAfDh"/>
      <w:bookmarkEnd w:id="628"/>
      <w:r>
        <w:rPr>
          <w:rFonts w:ascii="Times New Roman;Times;Serif" w:hAnsi="Times New Roman;Times;Serif"/>
          <w:b/>
          <w:i w:val="false"/>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computation of basic and diluted net loss per common share attributable to stockholders: </w:t>
      </w:r>
    </w:p>
    <w:p>
      <w:pPr>
        <w:pStyle w:val="Normal"/>
        <w:bidi w:val="0"/>
        <w:spacing w:before="0" w:after="0"/>
        <w:jc w:val="left"/>
        <w:rPr>
          <w:sz w:val="4"/>
          <w:szCs w:val="4"/>
        </w:rPr>
      </w:pPr>
      <w:r>
        <w:rPr>
          <w:sz w:val="4"/>
          <w:szCs w:val="4"/>
        </w:rPr>
      </w:r>
      <w:bookmarkStart w:id="629" w:name="xdx_893_eus-gaap--ScheduleOfEarningsPerS"/>
      <w:bookmarkStart w:id="630" w:name="xdx_893_eus-gaap--ScheduleOfEarningsPerS"/>
      <w:bookmarkEnd w:id="630"/>
    </w:p>
    <w:tbl>
      <w:tblPr>
        <w:tblW w:w="10205" w:type="dxa"/>
        <w:jc w:val="left"/>
        <w:tblInd w:w="0" w:type="dxa"/>
        <w:tblLayout w:type="fixed"/>
        <w:tblCellMar>
          <w:top w:w="0" w:type="dxa"/>
          <w:left w:w="0" w:type="dxa"/>
          <w:bottom w:w="0" w:type="dxa"/>
          <w:right w:w="0" w:type="dxa"/>
        </w:tblCellMar>
      </w:tblPr>
      <w:tblGrid>
        <w:gridCol w:w="4230"/>
        <w:gridCol w:w="60"/>
        <w:gridCol w:w="148"/>
        <w:gridCol w:w="1298"/>
        <w:gridCol w:w="100"/>
        <w:gridCol w:w="63"/>
        <w:gridCol w:w="148"/>
        <w:gridCol w:w="1171"/>
        <w:gridCol w:w="60"/>
        <w:gridCol w:w="60"/>
        <w:gridCol w:w="141"/>
        <w:gridCol w:w="1234"/>
        <w:gridCol w:w="95"/>
        <w:gridCol w:w="60"/>
        <w:gridCol w:w="141"/>
        <w:gridCol w:w="1113"/>
        <w:gridCol w:w="83"/>
      </w:tblGrid>
      <w:tr>
        <w:trPr/>
        <w:tc>
          <w:tcPr>
            <w:tcW w:w="4230" w:type="dxa"/>
            <w:tcBorders/>
            <w:shd w:fill="FFFFFF" w:val="clear"/>
            <w:vAlign w:val="center"/>
          </w:tcPr>
          <w:p>
            <w:pPr>
              <w:pStyle w:val="TableContents"/>
              <w:bidi w:val="0"/>
              <w:spacing w:before="0" w:after="283"/>
              <w:ind w:left="0" w:right="0" w:hanging="200"/>
              <w:jc w:val="left"/>
              <w:rPr/>
            </w:pPr>
            <w:bookmarkStart w:id="631" w:name="xdx_8BA_zL9volNXwqBj"/>
            <w:bookmarkEnd w:id="631"/>
            <w:r>
              <w:rPr/>
              <w:t>Schedule of computation of basic and diluted net loss per common share</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bookmarkStart w:id="632" w:name="xdx_493_20260401__20260630_zJFabAGIEcMl"/>
            <w:bookmarkEnd w:id="632"/>
          </w:p>
        </w:tc>
        <w:tc>
          <w:tcPr>
            <w:tcW w:w="1298" w:type="dxa"/>
            <w:tcBorders/>
            <w:shd w:fill="FFFFFF" w:val="clear"/>
            <w:vAlign w:val="center"/>
          </w:tcPr>
          <w:p>
            <w:pPr>
              <w:pStyle w:val="TableContents"/>
              <w:bidi w:val="0"/>
              <w:spacing w:before="0" w:after="283"/>
              <w:jc w:val="center"/>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bookmarkStart w:id="633" w:name="xdx_49B_20250401__20250630_z43ilPj6GCde"/>
            <w:bookmarkEnd w:id="633"/>
          </w:p>
        </w:tc>
        <w:tc>
          <w:tcPr>
            <w:tcW w:w="1171"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634" w:name="xdx_492_20260101__20260630_zfyalXMXqlWf"/>
            <w:bookmarkEnd w:id="634"/>
          </w:p>
        </w:tc>
        <w:tc>
          <w:tcPr>
            <w:tcW w:w="1234" w:type="dxa"/>
            <w:tcBorders/>
            <w:shd w:fill="FFFFFF" w:val="clear"/>
            <w:vAlign w:val="center"/>
          </w:tcPr>
          <w:p>
            <w:pPr>
              <w:pStyle w:val="TableContents"/>
              <w:bidi w:val="0"/>
              <w:spacing w:before="0" w:after="283"/>
              <w:jc w:val="center"/>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bookmarkStart w:id="635" w:name="xdx_49B_20250101__20250630_zyA2Yx3yssuh"/>
            <w:bookmarkEnd w:id="635"/>
          </w:p>
        </w:tc>
        <w:tc>
          <w:tcPr>
            <w:tcW w:w="1113" w:type="dxa"/>
            <w:tcBorders/>
            <w:shd w:fill="FFFFFF" w:val="clear"/>
            <w:vAlign w:val="center"/>
          </w:tcPr>
          <w:p>
            <w:pPr>
              <w:pStyle w:val="TableContents"/>
              <w:bidi w:val="0"/>
              <w:spacing w:before="0" w:after="283"/>
              <w:jc w:val="center"/>
              <w:rPr/>
            </w:pPr>
            <w:r>
              <w:rPr/>
              <w:t> </w:t>
            </w:r>
          </w:p>
        </w:tc>
        <w:tc>
          <w:tcPr>
            <w:tcW w:w="83" w:type="dxa"/>
            <w:tcBorders/>
            <w:shd w:fill="FFFFFF" w:val="clear"/>
            <w:vAlign w:val="center"/>
          </w:tcPr>
          <w:p>
            <w:pPr>
              <w:pStyle w:val="TableContents"/>
              <w:bidi w:val="0"/>
              <w:spacing w:before="0" w:after="283"/>
              <w:jc w:val="left"/>
              <w:rPr/>
            </w:pPr>
            <w:r>
              <w:rPr/>
              <w:t> </w:t>
            </w:r>
          </w:p>
        </w:tc>
      </w:tr>
      <w:tr>
        <w:trPr/>
        <w:tc>
          <w:tcPr>
            <w:tcW w:w="4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2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83" w:type="dxa"/>
            <w:tcBorders/>
            <w:vAlign w:val="center"/>
          </w:tcPr>
          <w:p>
            <w:pPr>
              <w:pStyle w:val="TableContents"/>
              <w:bidi w:val="0"/>
              <w:spacing w:before="0" w:after="283"/>
              <w:jc w:val="left"/>
              <w:rPr/>
            </w:pPr>
            <w:r>
              <w:rPr/>
              <w:t> </w:t>
            </w:r>
          </w:p>
        </w:tc>
      </w:tr>
      <w:tr>
        <w:trPr/>
        <w:tc>
          <w:tcPr>
            <w:tcW w:w="423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4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0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131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3" w:type="dxa"/>
            <w:tcBorders/>
            <w:vAlign w:val="center"/>
          </w:tcPr>
          <w:p>
            <w:pPr>
              <w:pStyle w:val="TableContents"/>
              <w:bidi w:val="0"/>
              <w:spacing w:before="0" w:after="283"/>
              <w:jc w:val="left"/>
              <w:rPr/>
            </w:pPr>
            <w:r>
              <w:rPr/>
              <w:t> </w:t>
            </w:r>
            <w:bookmarkStart w:id="636" w:name="xdx_404_ecustom--NumeratorAbstract_iB_zX"/>
            <w:bookmarkEnd w:id="636"/>
          </w:p>
        </w:tc>
      </w:tr>
      <w:tr>
        <w:trPr/>
        <w:tc>
          <w:tcPr>
            <w:tcW w:w="4230" w:type="dxa"/>
            <w:tcBorders/>
            <w:shd w:fill="CCEEFF" w:val="clear"/>
            <w:vAlign w:val="center"/>
          </w:tcPr>
          <w:p>
            <w:pPr>
              <w:pStyle w:val="TableContents"/>
              <w:bidi w:val="0"/>
              <w:spacing w:before="0" w:after="283"/>
              <w:jc w:val="left"/>
              <w:rPr/>
            </w:pPr>
            <w:r>
              <w:rPr/>
              <w:t>Numerator:</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ind w:left="0" w:right="0" w:hanging="200"/>
              <w:jc w:val="left"/>
              <w:rPr/>
            </w:pPr>
            <w:r>
              <w:rPr/>
              <w:t> </w:t>
            </w:r>
            <w:bookmarkStart w:id="637" w:name="xdx_40B_eus-gaap--NetIncomeLoss_pn3n3_zA"/>
            <w:bookmarkEnd w:id="637"/>
          </w:p>
        </w:tc>
      </w:tr>
      <w:tr>
        <w:trPr/>
        <w:tc>
          <w:tcPr>
            <w:tcW w:w="4230" w:type="dxa"/>
            <w:tcBorders/>
            <w:shd w:fill="FFFFFF" w:val="clear"/>
            <w:vAlign w:val="center"/>
          </w:tcPr>
          <w:p>
            <w:pPr>
              <w:pStyle w:val="TableContents"/>
              <w:bidi w:val="0"/>
              <w:spacing w:before="0" w:after="283"/>
              <w:jc w:val="left"/>
              <w:rPr/>
            </w:pPr>
            <w:r>
              <w:rPr/>
              <w:t>Net income (loss) attributable to common stockholders, basic</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298" w:type="dxa"/>
            <w:tcBorders/>
            <w:shd w:fill="FFFFFF" w:val="clear"/>
            <w:vAlign w:val="center"/>
          </w:tcPr>
          <w:p>
            <w:pPr>
              <w:pStyle w:val="TableContents"/>
              <w:bidi w:val="0"/>
              <w:spacing w:before="0" w:after="283"/>
              <w:jc w:val="right"/>
              <w:rPr/>
            </w:pPr>
            <w:r>
              <w:rPr/>
              <w:t>(1,835</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171" w:type="dxa"/>
            <w:tcBorders/>
            <w:shd w:fill="FFFFFF" w:val="clear"/>
            <w:vAlign w:val="center"/>
          </w:tcPr>
          <w:p>
            <w:pPr>
              <w:pStyle w:val="TableContents"/>
              <w:bidi w:val="0"/>
              <w:spacing w:before="0" w:after="283"/>
              <w:jc w:val="right"/>
              <w:rPr/>
            </w:pPr>
            <w:r>
              <w:rPr/>
              <w:t>2,700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4" w:type="dxa"/>
            <w:tcBorders/>
            <w:shd w:fill="FFFFFF" w:val="clear"/>
            <w:vAlign w:val="center"/>
          </w:tcPr>
          <w:p>
            <w:pPr>
              <w:pStyle w:val="TableContents"/>
              <w:bidi w:val="0"/>
              <w:spacing w:before="0" w:after="283"/>
              <w:jc w:val="right"/>
              <w:rPr/>
            </w:pPr>
            <w:r>
              <w:rPr/>
              <w:t>(3,145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13" w:type="dxa"/>
            <w:tcBorders/>
            <w:shd w:fill="FFFFFF" w:val="clear"/>
            <w:vAlign w:val="center"/>
          </w:tcPr>
          <w:p>
            <w:pPr>
              <w:pStyle w:val="TableContents"/>
              <w:bidi w:val="0"/>
              <w:spacing w:before="0" w:after="283"/>
              <w:jc w:val="right"/>
              <w:rPr/>
            </w:pPr>
            <w:r>
              <w:rPr/>
              <w:t>1,930</w:t>
            </w:r>
          </w:p>
        </w:tc>
        <w:tc>
          <w:tcPr>
            <w:tcW w:w="83" w:type="dxa"/>
            <w:tcBorders/>
            <w:shd w:fill="FFFFFF" w:val="clear"/>
            <w:vAlign w:val="center"/>
          </w:tcPr>
          <w:p>
            <w:pPr>
              <w:pStyle w:val="TableContents"/>
              <w:bidi w:val="0"/>
              <w:spacing w:before="0" w:after="283"/>
              <w:ind w:left="0" w:right="0" w:hanging="200"/>
              <w:jc w:val="left"/>
              <w:rPr/>
            </w:pPr>
            <w:r>
              <w:rPr/>
              <w:t> </w:t>
            </w:r>
            <w:bookmarkStart w:id="638" w:name="xdx_401_eus-gaap--PreferredStockDividend"/>
            <w:bookmarkEnd w:id="638"/>
          </w:p>
        </w:tc>
      </w:tr>
      <w:tr>
        <w:trPr/>
        <w:tc>
          <w:tcPr>
            <w:tcW w:w="4230" w:type="dxa"/>
            <w:tcBorders/>
            <w:shd w:fill="CCEEFF" w:val="clear"/>
            <w:vAlign w:val="center"/>
          </w:tcPr>
          <w:p>
            <w:pPr>
              <w:pStyle w:val="TableContents"/>
              <w:bidi w:val="0"/>
              <w:spacing w:before="0" w:after="283"/>
              <w:jc w:val="left"/>
              <w:rPr/>
            </w:pPr>
            <w:r>
              <w:rPr/>
              <w:t>Series D preferred stock dividend</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(227</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(227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ind w:left="0" w:right="0" w:hanging="200"/>
              <w:jc w:val="left"/>
              <w:rPr/>
            </w:pPr>
            <w:r>
              <w:rPr/>
              <w:t> </w:t>
            </w:r>
            <w:bookmarkStart w:id="639" w:name="xdx_403_eus-gaap--WeightedAverageNumberO"/>
            <w:bookmarkEnd w:id="639"/>
          </w:p>
        </w:tc>
      </w:tr>
      <w:tr>
        <w:trPr/>
        <w:tc>
          <w:tcPr>
            <w:tcW w:w="4230" w:type="dxa"/>
            <w:tcBorders/>
            <w:shd w:fill="FFFFFF" w:val="clear"/>
            <w:vAlign w:val="center"/>
          </w:tcPr>
          <w:p>
            <w:pPr>
              <w:pStyle w:val="TableContents"/>
              <w:bidi w:val="0"/>
              <w:spacing w:before="0" w:after="283"/>
              <w:jc w:val="left"/>
              <w:rPr/>
            </w:pPr>
            <w:r>
              <w:rPr/>
              <w:t>Effect of potentially dilutive securities: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ind w:left="0" w:right="0" w:hanging="200"/>
              <w:jc w:val="left"/>
              <w:rPr/>
            </w:pPr>
            <w:r>
              <w:rPr/>
              <w:t> </w:t>
            </w:r>
            <w:bookmarkStart w:id="640" w:name="xdx_406_eus-gaap--InterestOnConvertibleD"/>
            <w:bookmarkEnd w:id="640"/>
          </w:p>
        </w:tc>
      </w:tr>
      <w:tr>
        <w:trPr/>
        <w:tc>
          <w:tcPr>
            <w:tcW w:w="4230" w:type="dxa"/>
            <w:tcBorders/>
            <w:shd w:fill="CCEEFF" w:val="clear"/>
            <w:vAlign w:val="center"/>
          </w:tcPr>
          <w:p>
            <w:pPr>
              <w:pStyle w:val="TableContents"/>
              <w:bidi w:val="0"/>
              <w:spacing w:before="0" w:after="283"/>
              <w:jc w:val="left"/>
              <w:rPr/>
            </w:pPr>
            <w:r>
              <w:rPr/>
              <w:t>After-tax interest expense on convertible notes</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CCEEFF" w:val="clear"/>
            <w:tcMar>
              <w:bottom w:w="28" w:type="dxa"/>
            </w:tcMar>
            <w:vAlign w:val="center"/>
          </w:tcPr>
          <w:p>
            <w:pPr>
              <w:pStyle w:val="TableContents"/>
              <w:bidi w:val="0"/>
              <w:spacing w:before="0" w:after="283"/>
              <w:jc w:val="right"/>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shd w:fill="CCEEFF" w:val="clear"/>
            <w:tcMar>
              <w:bottom w:w="28" w:type="dxa"/>
            </w:tcMar>
            <w:vAlign w:val="center"/>
          </w:tcPr>
          <w:p>
            <w:pPr>
              <w:pStyle w:val="TableContents"/>
              <w:bidi w:val="0"/>
              <w:spacing w:before="0" w:after="283"/>
              <w:jc w:val="right"/>
              <w:rPr/>
            </w:pPr>
            <w:r>
              <w:rPr/>
              <w:t>14</w:t>
            </w:r>
          </w:p>
        </w:tc>
        <w:tc>
          <w:tcPr>
            <w:tcW w:w="83" w:type="dxa"/>
            <w:tcBorders/>
            <w:shd w:fill="CCEEFF" w:val="clear"/>
            <w:vAlign w:val="center"/>
          </w:tcPr>
          <w:p>
            <w:pPr>
              <w:pStyle w:val="TableContents"/>
              <w:bidi w:val="0"/>
              <w:spacing w:before="0" w:after="283"/>
              <w:ind w:left="0" w:right="0" w:hanging="200"/>
              <w:jc w:val="left"/>
              <w:rPr/>
            </w:pPr>
            <w:r>
              <w:rPr/>
              <w:t> </w:t>
            </w:r>
            <w:bookmarkStart w:id="641" w:name="xdx_407_ecustom--NetIncomeLossAvailableT"/>
            <w:bookmarkEnd w:id="641"/>
          </w:p>
        </w:tc>
      </w:tr>
      <w:tr>
        <w:trPr/>
        <w:tc>
          <w:tcPr>
            <w:tcW w:w="4230" w:type="dxa"/>
            <w:tcBorders/>
            <w:shd w:fill="FFFFFF" w:val="clear"/>
            <w:vAlign w:val="center"/>
          </w:tcPr>
          <w:p>
            <w:pPr>
              <w:pStyle w:val="TableContents"/>
              <w:bidi w:val="0"/>
              <w:spacing w:before="0" w:after="283"/>
              <w:jc w:val="left"/>
              <w:rPr/>
            </w:pPr>
            <w:r>
              <w:rPr/>
              <w:t>Net income (loss)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98" w:type="dxa"/>
            <w:tcBorders>
              <w:bottom w:val="double" w:sz="6" w:space="0" w:color="000000"/>
            </w:tcBorders>
            <w:shd w:fill="FFFFFF" w:val="clear"/>
            <w:tcMar>
              <w:bottom w:w="28" w:type="dxa"/>
            </w:tcMar>
            <w:vAlign w:val="center"/>
          </w:tcPr>
          <w:p>
            <w:pPr>
              <w:pStyle w:val="TableContents"/>
              <w:bidi w:val="0"/>
              <w:spacing w:before="0" w:after="283"/>
              <w:jc w:val="right"/>
              <w:rPr/>
            </w:pPr>
            <w:r>
              <w:rPr/>
              <w:t>(2,062</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71" w:type="dxa"/>
            <w:tcBorders>
              <w:bottom w:val="double" w:sz="6" w:space="0" w:color="000000"/>
            </w:tcBorders>
            <w:shd w:fill="FFFFFF" w:val="clear"/>
            <w:tcMar>
              <w:bottom w:w="28" w:type="dxa"/>
            </w:tcMar>
            <w:vAlign w:val="center"/>
          </w:tcPr>
          <w:p>
            <w:pPr>
              <w:pStyle w:val="TableContents"/>
              <w:bidi w:val="0"/>
              <w:spacing w:before="0" w:after="283"/>
              <w:jc w:val="right"/>
              <w:rPr/>
            </w:pPr>
            <w:r>
              <w:rPr/>
              <w:t>2,714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234" w:type="dxa"/>
            <w:tcBorders>
              <w:bottom w:val="double" w:sz="6" w:space="0" w:color="000000"/>
            </w:tcBorders>
            <w:shd w:fill="FFFFFF" w:val="clear"/>
            <w:tcMar>
              <w:bottom w:w="28" w:type="dxa"/>
            </w:tcMar>
            <w:vAlign w:val="center"/>
          </w:tcPr>
          <w:p>
            <w:pPr>
              <w:pStyle w:val="TableContents"/>
              <w:bidi w:val="0"/>
              <w:spacing w:before="0" w:after="283"/>
              <w:jc w:val="right"/>
              <w:rPr/>
            </w:pPr>
            <w:r>
              <w:rPr/>
              <w:t>(3,372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13" w:type="dxa"/>
            <w:tcBorders>
              <w:bottom w:val="double" w:sz="6" w:space="0" w:color="000000"/>
            </w:tcBorders>
            <w:shd w:fill="FFFFFF" w:val="clear"/>
            <w:tcMar>
              <w:bottom w:w="28" w:type="dxa"/>
            </w:tcMar>
            <w:vAlign w:val="center"/>
          </w:tcPr>
          <w:p>
            <w:pPr>
              <w:pStyle w:val="TableContents"/>
              <w:bidi w:val="0"/>
              <w:spacing w:before="0" w:after="283"/>
              <w:jc w:val="right"/>
              <w:rPr/>
            </w:pPr>
            <w:r>
              <w:rPr/>
              <w:t>1,944</w:t>
            </w:r>
          </w:p>
        </w:tc>
        <w:tc>
          <w:tcPr>
            <w:tcW w:w="83" w:type="dxa"/>
            <w:tcBorders/>
            <w:shd w:fill="FFFFFF" w:val="clear"/>
            <w:vAlign w:val="center"/>
          </w:tcPr>
          <w:p>
            <w:pPr>
              <w:pStyle w:val="TableContents"/>
              <w:bidi w:val="0"/>
              <w:spacing w:before="0" w:after="283"/>
              <w:jc w:val="left"/>
              <w:rPr/>
            </w:pPr>
            <w:r>
              <w:rPr/>
              <w:t> </w:t>
            </w:r>
            <w:bookmarkStart w:id="642" w:name="xdx_407_ecustom--DenominatorAbstract_iB_"/>
            <w:bookmarkEnd w:id="642"/>
          </w:p>
        </w:tc>
      </w:tr>
      <w:tr>
        <w:trPr/>
        <w:tc>
          <w:tcPr>
            <w:tcW w:w="4230" w:type="dxa"/>
            <w:tcBorders/>
            <w:shd w:fill="CCEEFF" w:val="clear"/>
            <w:vAlign w:val="center"/>
          </w:tcPr>
          <w:p>
            <w:pPr>
              <w:pStyle w:val="TableContents"/>
              <w:bidi w:val="0"/>
              <w:spacing w:before="0" w:after="283"/>
              <w:jc w:val="left"/>
              <w:rPr/>
            </w:pPr>
            <w:r>
              <w:rPr/>
              <w:t>Denominator:</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ind w:left="0" w:right="0" w:hanging="200"/>
              <w:jc w:val="left"/>
              <w:rPr/>
            </w:pPr>
            <w:r>
              <w:rPr/>
              <w:t> </w:t>
            </w:r>
            <w:bookmarkStart w:id="643" w:name="xdx_409_eus-gaap--WeightedAverageNumberO"/>
            <w:bookmarkEnd w:id="643"/>
          </w:p>
        </w:tc>
      </w:tr>
      <w:tr>
        <w:trPr/>
        <w:tc>
          <w:tcPr>
            <w:tcW w:w="4230" w:type="dxa"/>
            <w:tcBorders/>
            <w:shd w:fill="FFFFFF" w:val="clear"/>
            <w:vAlign w:val="center"/>
          </w:tcPr>
          <w:p>
            <w:pPr>
              <w:pStyle w:val="TableContents"/>
              <w:bidi w:val="0"/>
              <w:spacing w:before="0" w:after="283"/>
              <w:jc w:val="left"/>
              <w:rPr/>
            </w:pPr>
            <w:r>
              <w:rPr/>
              <w:t>Weighted-average common shares outstanding, basic</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186,174,045</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51,776,206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179,284,550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47,154,964</w:t>
            </w:r>
          </w:p>
        </w:tc>
        <w:tc>
          <w:tcPr>
            <w:tcW w:w="83" w:type="dxa"/>
            <w:tcBorders/>
            <w:shd w:fill="FFFFFF" w:val="clear"/>
            <w:vAlign w:val="center"/>
          </w:tcPr>
          <w:p>
            <w:pPr>
              <w:pStyle w:val="TableContents"/>
              <w:bidi w:val="0"/>
              <w:spacing w:before="0" w:after="283"/>
              <w:ind w:left="0" w:right="0" w:hanging="200"/>
              <w:jc w:val="left"/>
              <w:rPr/>
            </w:pPr>
            <w:r>
              <w:rPr/>
              <w:t> </w:t>
            </w:r>
            <w:bookmarkStart w:id="644" w:name="xdx_40C_eus-gaap--DilutiveSecuritiesAbst"/>
            <w:bookmarkEnd w:id="644"/>
          </w:p>
        </w:tc>
      </w:tr>
      <w:tr>
        <w:trPr/>
        <w:tc>
          <w:tcPr>
            <w:tcW w:w="4230" w:type="dxa"/>
            <w:tcBorders/>
            <w:shd w:fill="CCEEFF" w:val="clear"/>
            <w:vAlign w:val="center"/>
          </w:tcPr>
          <w:p>
            <w:pPr>
              <w:pStyle w:val="TableContents"/>
              <w:bidi w:val="0"/>
              <w:spacing w:before="0" w:after="283"/>
              <w:jc w:val="left"/>
              <w:rPr/>
            </w:pPr>
            <w:r>
              <w:rPr/>
              <w:t>Effect of potentially dilutive securities:</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ind w:left="0" w:right="0" w:hanging="200"/>
              <w:jc w:val="left"/>
              <w:rPr/>
            </w:pPr>
            <w:r>
              <w:rPr/>
              <w:t> </w:t>
            </w:r>
            <w:bookmarkStart w:id="645" w:name="xdx_40C_eus-gaap--WeightedAverageNumberD"/>
            <w:bookmarkEnd w:id="645"/>
          </w:p>
        </w:tc>
      </w:tr>
      <w:tr>
        <w:trPr/>
        <w:tc>
          <w:tcPr>
            <w:tcW w:w="4230" w:type="dxa"/>
            <w:tcBorders/>
            <w:shd w:fill="FFFFFF" w:val="clear"/>
            <w:vAlign w:val="center"/>
          </w:tcPr>
          <w:p>
            <w:pPr>
              <w:pStyle w:val="TableContents"/>
              <w:bidi w:val="0"/>
              <w:spacing w:before="0" w:after="283"/>
              <w:jc w:val="left"/>
              <w:rPr/>
            </w:pPr>
            <w:r>
              <w:rPr/>
              <w:t>Convertible notes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14,500,000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7,250,000</w:t>
            </w:r>
          </w:p>
        </w:tc>
        <w:tc>
          <w:tcPr>
            <w:tcW w:w="83" w:type="dxa"/>
            <w:tcBorders/>
            <w:shd w:fill="FFFFFF" w:val="clear"/>
            <w:vAlign w:val="center"/>
          </w:tcPr>
          <w:p>
            <w:pPr>
              <w:pStyle w:val="TableContents"/>
              <w:bidi w:val="0"/>
              <w:spacing w:before="0" w:after="283"/>
              <w:ind w:left="0" w:right="0" w:hanging="200"/>
              <w:jc w:val="left"/>
              <w:rPr/>
            </w:pPr>
            <w:r>
              <w:rPr/>
              <w:t> </w:t>
            </w:r>
            <w:bookmarkStart w:id="646" w:name="xdx_40F_eus-gaap--WeightedAverageNumberD"/>
            <w:bookmarkEnd w:id="646"/>
          </w:p>
        </w:tc>
      </w:tr>
      <w:tr>
        <w:trPr/>
        <w:tc>
          <w:tcPr>
            <w:tcW w:w="4230" w:type="dxa"/>
            <w:tcBorders/>
            <w:shd w:fill="CCEEFF" w:val="clear"/>
            <w:vAlign w:val="center"/>
          </w:tcPr>
          <w:p>
            <w:pPr>
              <w:pStyle w:val="TableContents"/>
              <w:bidi w:val="0"/>
              <w:spacing w:before="0" w:after="283"/>
              <w:jc w:val="left"/>
              <w:rPr/>
            </w:pPr>
            <w:r>
              <w:rPr/>
              <w:t>Restricted stock</w:t>
            </w:r>
          </w:p>
        </w:tc>
        <w:tc>
          <w:tcPr>
            <w:tcW w:w="60"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9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1"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3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13" w:type="dxa"/>
            <w:tcBorders>
              <w:bottom w:val="single" w:sz="8" w:space="0" w:color="000000"/>
            </w:tcBorders>
            <w:shd w:fill="CCEEFF" w:val="clear"/>
            <w:tcMar>
              <w:bottom w:w="28" w:type="dxa"/>
            </w:tcMar>
            <w:vAlign w:val="center"/>
          </w:tcPr>
          <w:p>
            <w:pPr>
              <w:pStyle w:val="TableContents"/>
              <w:bidi w:val="0"/>
              <w:spacing w:before="0" w:after="283"/>
              <w:jc w:val="right"/>
              <w:rPr/>
            </w:pPr>
            <w:r>
              <w:rPr/>
              <w:t>3,513,362</w:t>
            </w:r>
          </w:p>
        </w:tc>
        <w:tc>
          <w:tcPr>
            <w:tcW w:w="83" w:type="dxa"/>
            <w:tcBorders/>
            <w:shd w:fill="CCEEFF" w:val="clear"/>
            <w:vAlign w:val="center"/>
          </w:tcPr>
          <w:p>
            <w:pPr>
              <w:pStyle w:val="TableContents"/>
              <w:bidi w:val="0"/>
              <w:spacing w:before="0" w:after="283"/>
              <w:ind w:left="0" w:right="0" w:hanging="200"/>
              <w:jc w:val="left"/>
              <w:rPr/>
            </w:pPr>
            <w:r>
              <w:rPr/>
              <w:t> </w:t>
            </w:r>
            <w:bookmarkStart w:id="647" w:name="xdx_402_eus-gaap--WeightedAverageNumberO"/>
            <w:bookmarkEnd w:id="647"/>
          </w:p>
        </w:tc>
      </w:tr>
      <w:tr>
        <w:trPr/>
        <w:tc>
          <w:tcPr>
            <w:tcW w:w="4230" w:type="dxa"/>
            <w:tcBorders/>
            <w:shd w:fill="FFFFFF" w:val="clear"/>
            <w:vAlign w:val="center"/>
          </w:tcPr>
          <w:p>
            <w:pPr>
              <w:pStyle w:val="TableContents"/>
              <w:bidi w:val="0"/>
              <w:spacing w:before="0" w:after="283"/>
              <w:jc w:val="left"/>
              <w:rPr/>
            </w:pPr>
            <w:r>
              <w:rPr/>
              <w:t>Weighted-average common shares outstanding, diluted</w:t>
            </w:r>
          </w:p>
        </w:tc>
        <w:tc>
          <w:tcPr>
            <w:tcW w:w="60"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98" w:type="dxa"/>
            <w:tcBorders>
              <w:bottom w:val="double" w:sz="6" w:space="0" w:color="000000"/>
            </w:tcBorders>
            <w:shd w:fill="FFFFFF" w:val="clear"/>
            <w:tcMar>
              <w:bottom w:w="28" w:type="dxa"/>
            </w:tcMar>
            <w:vAlign w:val="center"/>
          </w:tcPr>
          <w:p>
            <w:pPr>
              <w:pStyle w:val="TableContents"/>
              <w:bidi w:val="0"/>
              <w:spacing w:before="0" w:after="283"/>
              <w:jc w:val="right"/>
              <w:rPr/>
            </w:pPr>
            <w:r>
              <w:rPr/>
              <w:t>186,174,045</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1" w:type="dxa"/>
            <w:tcBorders>
              <w:bottom w:val="double" w:sz="6" w:space="0" w:color="000000"/>
            </w:tcBorders>
            <w:shd w:fill="FFFFFF" w:val="clear"/>
            <w:tcMar>
              <w:bottom w:w="28" w:type="dxa"/>
            </w:tcMar>
            <w:vAlign w:val="center"/>
          </w:tcPr>
          <w:p>
            <w:pPr>
              <w:pStyle w:val="TableContents"/>
              <w:bidi w:val="0"/>
              <w:spacing w:before="0" w:after="283"/>
              <w:jc w:val="right"/>
              <w:rPr/>
            </w:pPr>
            <w:r>
              <w:rPr/>
              <w:t>66,276,206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34" w:type="dxa"/>
            <w:tcBorders>
              <w:bottom w:val="double" w:sz="6" w:space="0" w:color="000000"/>
            </w:tcBorders>
            <w:shd w:fill="FFFFFF" w:val="clear"/>
            <w:tcMar>
              <w:bottom w:w="28" w:type="dxa"/>
            </w:tcMar>
            <w:vAlign w:val="center"/>
          </w:tcPr>
          <w:p>
            <w:pPr>
              <w:pStyle w:val="TableContents"/>
              <w:bidi w:val="0"/>
              <w:spacing w:before="0" w:after="283"/>
              <w:jc w:val="right"/>
              <w:rPr/>
            </w:pPr>
            <w:r>
              <w:rPr/>
              <w:t>179,284,550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13" w:type="dxa"/>
            <w:tcBorders>
              <w:bottom w:val="double" w:sz="6" w:space="0" w:color="000000"/>
            </w:tcBorders>
            <w:shd w:fill="FFFFFF" w:val="clear"/>
            <w:tcMar>
              <w:bottom w:w="28" w:type="dxa"/>
            </w:tcMar>
            <w:vAlign w:val="center"/>
          </w:tcPr>
          <w:p>
            <w:pPr>
              <w:pStyle w:val="TableContents"/>
              <w:bidi w:val="0"/>
              <w:spacing w:before="0" w:after="283"/>
              <w:jc w:val="right"/>
              <w:rPr/>
            </w:pPr>
            <w:r>
              <w:rPr/>
              <w:t>57,918,326</w:t>
            </w:r>
          </w:p>
        </w:tc>
        <w:tc>
          <w:tcPr>
            <w:tcW w:w="83" w:type="dxa"/>
            <w:tcBorders/>
            <w:shd w:fill="FFFFFF" w:val="clear"/>
            <w:vAlign w:val="center"/>
          </w:tcPr>
          <w:p>
            <w:pPr>
              <w:pStyle w:val="TableContents"/>
              <w:bidi w:val="0"/>
              <w:spacing w:before="0" w:after="283"/>
              <w:jc w:val="left"/>
              <w:rPr/>
            </w:pPr>
            <w:r>
              <w:rPr/>
              <w:t> </w:t>
            </w:r>
          </w:p>
        </w:tc>
      </w:tr>
      <w:tr>
        <w:trPr/>
        <w:tc>
          <w:tcPr>
            <w:tcW w:w="42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298" w:type="dxa"/>
            <w:tcBorders/>
            <w:shd w:fill="CCEEFF" w:val="clear"/>
            <w:vAlign w:val="center"/>
          </w:tcPr>
          <w:p>
            <w:pPr>
              <w:pStyle w:val="TableContents"/>
              <w:bidi w:val="0"/>
              <w:spacing w:before="0" w:after="283"/>
              <w:jc w:val="right"/>
              <w:rPr/>
            </w:pPr>
            <w:r>
              <w:rPr/>
              <w:t> </w:t>
            </w:r>
          </w:p>
        </w:tc>
        <w:tc>
          <w:tcPr>
            <w:tcW w:w="100"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 </w:t>
            </w:r>
          </w:p>
        </w:tc>
        <w:tc>
          <w:tcPr>
            <w:tcW w:w="117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23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 </w:t>
            </w:r>
          </w:p>
        </w:tc>
        <w:tc>
          <w:tcPr>
            <w:tcW w:w="1113" w:type="dxa"/>
            <w:tcBorders/>
            <w:shd w:fill="CCEEFF" w:val="clear"/>
            <w:vAlign w:val="center"/>
          </w:tcPr>
          <w:p>
            <w:pPr>
              <w:pStyle w:val="TableContents"/>
              <w:bidi w:val="0"/>
              <w:spacing w:before="0" w:after="283"/>
              <w:jc w:val="right"/>
              <w:rPr/>
            </w:pPr>
            <w:r>
              <w:rPr/>
              <w:t> </w:t>
            </w:r>
          </w:p>
        </w:tc>
        <w:tc>
          <w:tcPr>
            <w:tcW w:w="83" w:type="dxa"/>
            <w:tcBorders/>
            <w:shd w:fill="CCEEFF" w:val="clear"/>
            <w:vAlign w:val="center"/>
          </w:tcPr>
          <w:p>
            <w:pPr>
              <w:pStyle w:val="TableContents"/>
              <w:bidi w:val="0"/>
              <w:spacing w:before="0" w:after="283"/>
              <w:ind w:left="0" w:right="0" w:hanging="200"/>
              <w:jc w:val="left"/>
              <w:rPr/>
            </w:pPr>
            <w:r>
              <w:rPr/>
              <w:t> </w:t>
            </w:r>
            <w:bookmarkStart w:id="648" w:name="xdx_400_eus-gaap--EarningsPerShareReconc"/>
            <w:bookmarkEnd w:id="648"/>
          </w:p>
        </w:tc>
      </w:tr>
      <w:tr>
        <w:trPr/>
        <w:tc>
          <w:tcPr>
            <w:tcW w:w="4230" w:type="dxa"/>
            <w:tcBorders/>
            <w:shd w:fill="FFFFFF" w:val="clear"/>
            <w:vAlign w:val="center"/>
          </w:tcPr>
          <w:p>
            <w:pPr>
              <w:pStyle w:val="TableContents"/>
              <w:bidi w:val="0"/>
              <w:spacing w:before="0" w:after="283"/>
              <w:jc w:val="left"/>
              <w:rPr/>
            </w:pPr>
            <w:r>
              <w:rPr/>
              <w:t>Net income (loss) per share attributable to common stockholders,</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298" w:type="dxa"/>
            <w:tcBorders/>
            <w:shd w:fill="FFFFFF" w:val="clear"/>
            <w:vAlign w:val="center"/>
          </w:tcPr>
          <w:p>
            <w:pPr>
              <w:pStyle w:val="TableContents"/>
              <w:bidi w:val="0"/>
              <w:spacing w:before="0" w:after="283"/>
              <w:jc w:val="right"/>
              <w:rPr/>
            </w:pPr>
            <w:r>
              <w:rPr/>
              <w:t> </w:t>
            </w:r>
          </w:p>
        </w:tc>
        <w:tc>
          <w:tcPr>
            <w:tcW w:w="100"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 </w:t>
            </w:r>
          </w:p>
        </w:tc>
        <w:tc>
          <w:tcPr>
            <w:tcW w:w="1171"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234"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 </w:t>
            </w:r>
          </w:p>
        </w:tc>
        <w:tc>
          <w:tcPr>
            <w:tcW w:w="1113"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bookmarkStart w:id="649" w:name="xdx_403_eus-gaap--EarningsPerShareBasic_"/>
            <w:bookmarkEnd w:id="649"/>
          </w:p>
        </w:tc>
      </w:tr>
      <w:tr>
        <w:trPr/>
        <w:tc>
          <w:tcPr>
            <w:tcW w:w="4230"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298" w:type="dxa"/>
            <w:tcBorders/>
            <w:shd w:fill="CCEEFF" w:val="clear"/>
            <w:vAlign w:val="center"/>
          </w:tcPr>
          <w:p>
            <w:pPr>
              <w:pStyle w:val="TableContents"/>
              <w:bidi w:val="0"/>
              <w:spacing w:before="0" w:after="283"/>
              <w:jc w:val="right"/>
              <w:rPr/>
            </w:pPr>
            <w:r>
              <w:rPr/>
              <w:t>(0.01</w:t>
            </w:r>
          </w:p>
        </w:tc>
        <w:tc>
          <w:tcPr>
            <w:tcW w:w="100" w:type="dxa"/>
            <w:tcBorders/>
            <w:shd w:fill="CCEEFF" w:val="clear"/>
            <w:vAlign w:val="center"/>
          </w:tcPr>
          <w:p>
            <w:pPr>
              <w:pStyle w:val="TableContents"/>
              <w:bidi w:val="0"/>
              <w:spacing w:before="0" w:after="283"/>
              <w:jc w:val="left"/>
              <w:rPr/>
            </w:pPr>
            <w:r>
              <w:rPr/>
              <w:t>)</w:t>
            </w:r>
          </w:p>
        </w:tc>
        <w:tc>
          <w:tcPr>
            <w:tcW w:w="63" w:type="dxa"/>
            <w:tcBorders/>
            <w:shd w:fill="CCEEFF" w:val="clear"/>
            <w:vAlign w:val="center"/>
          </w:tcPr>
          <w:p>
            <w:pPr>
              <w:pStyle w:val="TableContents"/>
              <w:bidi w:val="0"/>
              <w:spacing w:before="0" w:after="283"/>
              <w:jc w:val="left"/>
              <w:rPr/>
            </w:pPr>
            <w:r>
              <w:rPr/>
              <w:t> </w:t>
            </w:r>
          </w:p>
        </w:tc>
        <w:tc>
          <w:tcPr>
            <w:tcW w:w="148" w:type="dxa"/>
            <w:tcBorders/>
            <w:shd w:fill="CCEEFF" w:val="clear"/>
            <w:vAlign w:val="center"/>
          </w:tcPr>
          <w:p>
            <w:pPr>
              <w:pStyle w:val="TableContents"/>
              <w:bidi w:val="0"/>
              <w:spacing w:before="0" w:after="283"/>
              <w:jc w:val="left"/>
              <w:rPr/>
            </w:pPr>
            <w:r>
              <w:rPr/>
              <w:t>$</w:t>
            </w:r>
          </w:p>
        </w:tc>
        <w:tc>
          <w:tcPr>
            <w:tcW w:w="1171" w:type="dxa"/>
            <w:tcBorders/>
            <w:shd w:fill="CCEEFF" w:val="clear"/>
            <w:vAlign w:val="center"/>
          </w:tcPr>
          <w:p>
            <w:pPr>
              <w:pStyle w:val="TableContents"/>
              <w:bidi w:val="0"/>
              <w:spacing w:before="0" w:after="283"/>
              <w:jc w:val="right"/>
              <w:rPr/>
            </w:pPr>
            <w:r>
              <w:rPr/>
              <w:t>0.05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234" w:type="dxa"/>
            <w:tcBorders/>
            <w:shd w:fill="CCEEFF" w:val="clear"/>
            <w:vAlign w:val="center"/>
          </w:tcPr>
          <w:p>
            <w:pPr>
              <w:pStyle w:val="TableContents"/>
              <w:bidi w:val="0"/>
              <w:spacing w:before="0" w:after="283"/>
              <w:jc w:val="right"/>
              <w:rPr/>
            </w:pPr>
            <w:r>
              <w:rPr/>
              <w:t>(0.02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1" w:type="dxa"/>
            <w:tcBorders/>
            <w:shd w:fill="CCEEFF" w:val="clear"/>
            <w:vAlign w:val="center"/>
          </w:tcPr>
          <w:p>
            <w:pPr>
              <w:pStyle w:val="TableContents"/>
              <w:bidi w:val="0"/>
              <w:spacing w:before="0" w:after="283"/>
              <w:jc w:val="left"/>
              <w:rPr/>
            </w:pPr>
            <w:r>
              <w:rPr/>
              <w:t>$</w:t>
            </w:r>
          </w:p>
        </w:tc>
        <w:tc>
          <w:tcPr>
            <w:tcW w:w="1113" w:type="dxa"/>
            <w:tcBorders/>
            <w:shd w:fill="CCEEFF" w:val="clear"/>
            <w:vAlign w:val="center"/>
          </w:tcPr>
          <w:p>
            <w:pPr>
              <w:pStyle w:val="TableContents"/>
              <w:bidi w:val="0"/>
              <w:spacing w:before="0" w:after="283"/>
              <w:jc w:val="right"/>
              <w:rPr/>
            </w:pPr>
            <w:r>
              <w:rPr/>
              <w:t>0.04</w:t>
            </w:r>
          </w:p>
        </w:tc>
        <w:tc>
          <w:tcPr>
            <w:tcW w:w="83" w:type="dxa"/>
            <w:tcBorders/>
            <w:shd w:fill="CCEEFF" w:val="clear"/>
            <w:vAlign w:val="center"/>
          </w:tcPr>
          <w:p>
            <w:pPr>
              <w:pStyle w:val="TableContents"/>
              <w:bidi w:val="0"/>
              <w:spacing w:before="0" w:after="283"/>
              <w:jc w:val="left"/>
              <w:rPr/>
            </w:pPr>
            <w:r>
              <w:rPr/>
              <w:t> </w:t>
            </w:r>
            <w:bookmarkStart w:id="650" w:name="xdx_401_eus-gaap--EarningsPerShareDilute"/>
            <w:bookmarkEnd w:id="650"/>
          </w:p>
        </w:tc>
      </w:tr>
      <w:tr>
        <w:trPr/>
        <w:tc>
          <w:tcPr>
            <w:tcW w:w="4230"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298" w:type="dxa"/>
            <w:tcBorders/>
            <w:shd w:fill="FFFFFF" w:val="clear"/>
            <w:vAlign w:val="center"/>
          </w:tcPr>
          <w:p>
            <w:pPr>
              <w:pStyle w:val="TableContents"/>
              <w:bidi w:val="0"/>
              <w:spacing w:before="0" w:after="283"/>
              <w:jc w:val="right"/>
              <w:rPr/>
            </w:pPr>
            <w:r>
              <w:rPr/>
              <w:t>(0.01</w:t>
            </w:r>
          </w:p>
        </w:tc>
        <w:tc>
          <w:tcPr>
            <w:tcW w:w="100" w:type="dxa"/>
            <w:tcBorders/>
            <w:shd w:fill="FFFFFF" w:val="clear"/>
            <w:vAlign w:val="center"/>
          </w:tcPr>
          <w:p>
            <w:pPr>
              <w:pStyle w:val="TableContents"/>
              <w:bidi w:val="0"/>
              <w:spacing w:before="0" w:after="283"/>
              <w:jc w:val="left"/>
              <w:rPr/>
            </w:pPr>
            <w:r>
              <w:rPr/>
              <w:t>)</w:t>
            </w:r>
          </w:p>
        </w:tc>
        <w:tc>
          <w:tcPr>
            <w:tcW w:w="63" w:type="dxa"/>
            <w:tcBorders/>
            <w:shd w:fill="FFFFFF" w:val="clear"/>
            <w:vAlign w:val="center"/>
          </w:tcPr>
          <w:p>
            <w:pPr>
              <w:pStyle w:val="TableContents"/>
              <w:bidi w:val="0"/>
              <w:spacing w:before="0" w:after="283"/>
              <w:jc w:val="left"/>
              <w:rPr/>
            </w:pPr>
            <w:r>
              <w:rPr/>
              <w:t> </w:t>
            </w:r>
          </w:p>
        </w:tc>
        <w:tc>
          <w:tcPr>
            <w:tcW w:w="148" w:type="dxa"/>
            <w:tcBorders/>
            <w:shd w:fill="FFFFFF" w:val="clear"/>
            <w:vAlign w:val="center"/>
          </w:tcPr>
          <w:p>
            <w:pPr>
              <w:pStyle w:val="TableContents"/>
              <w:bidi w:val="0"/>
              <w:spacing w:before="0" w:after="283"/>
              <w:jc w:val="left"/>
              <w:rPr/>
            </w:pPr>
            <w:r>
              <w:rPr/>
              <w:t>$</w:t>
            </w:r>
          </w:p>
        </w:tc>
        <w:tc>
          <w:tcPr>
            <w:tcW w:w="1171" w:type="dxa"/>
            <w:tcBorders/>
            <w:shd w:fill="FFFFFF" w:val="clear"/>
            <w:vAlign w:val="center"/>
          </w:tcPr>
          <w:p>
            <w:pPr>
              <w:pStyle w:val="TableContents"/>
              <w:bidi w:val="0"/>
              <w:spacing w:before="0" w:after="283"/>
              <w:jc w:val="right"/>
              <w:rPr/>
            </w:pPr>
            <w:r>
              <w:rPr/>
              <w:t>0.04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234" w:type="dxa"/>
            <w:tcBorders/>
            <w:shd w:fill="FFFFFF" w:val="clear"/>
            <w:vAlign w:val="center"/>
          </w:tcPr>
          <w:p>
            <w:pPr>
              <w:pStyle w:val="TableContents"/>
              <w:bidi w:val="0"/>
              <w:spacing w:before="0" w:after="283"/>
              <w:jc w:val="right"/>
              <w:rPr/>
            </w:pPr>
            <w:r>
              <w:rPr/>
              <w:t>(0.02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1" w:type="dxa"/>
            <w:tcBorders/>
            <w:shd w:fill="FFFFFF" w:val="clear"/>
            <w:vAlign w:val="center"/>
          </w:tcPr>
          <w:p>
            <w:pPr>
              <w:pStyle w:val="TableContents"/>
              <w:bidi w:val="0"/>
              <w:spacing w:before="0" w:after="283"/>
              <w:jc w:val="left"/>
              <w:rPr/>
            </w:pPr>
            <w:r>
              <w:rPr/>
              <w:t>$</w:t>
            </w:r>
          </w:p>
        </w:tc>
        <w:tc>
          <w:tcPr>
            <w:tcW w:w="1113" w:type="dxa"/>
            <w:tcBorders/>
            <w:shd w:fill="FFFFFF" w:val="clear"/>
            <w:vAlign w:val="center"/>
          </w:tcPr>
          <w:p>
            <w:pPr>
              <w:pStyle w:val="TableContents"/>
              <w:bidi w:val="0"/>
              <w:spacing w:before="0" w:after="283"/>
              <w:jc w:val="right"/>
              <w:rPr/>
            </w:pPr>
            <w:r>
              <w:rPr/>
              <w:t>0.03</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51" w:name="xdx_8AB_z84SIppC7T59"/>
      <w:bookmarkEnd w:id="651"/>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excluded the following potential common shares, presented based on amounts outstanding at each period end, from the computation of diluted net loss per share for the periods indicated, since their inclusion would be anti-dilutive: </w:t>
      </w:r>
    </w:p>
    <w:p>
      <w:pPr>
        <w:pStyle w:val="Normal"/>
        <w:bidi w:val="0"/>
        <w:spacing w:before="0" w:after="0"/>
        <w:jc w:val="left"/>
        <w:rPr>
          <w:sz w:val="4"/>
          <w:szCs w:val="4"/>
        </w:rPr>
      </w:pPr>
      <w:r>
        <w:rPr>
          <w:sz w:val="4"/>
          <w:szCs w:val="4"/>
        </w:rPr>
      </w:r>
      <w:bookmarkStart w:id="652" w:name="xdx_894_eus-gaap--ScheduleOfAntidilutive"/>
      <w:bookmarkStart w:id="653" w:name="xdx_894_eus-gaap--ScheduleOfAntidilutive"/>
      <w:bookmarkEnd w:id="653"/>
    </w:p>
    <w:tbl>
      <w:tblPr>
        <w:tblW w:w="10205" w:type="dxa"/>
        <w:jc w:val="left"/>
        <w:tblInd w:w="0" w:type="dxa"/>
        <w:tblLayout w:type="fixed"/>
        <w:tblCellMar>
          <w:top w:w="0" w:type="dxa"/>
          <w:left w:w="0" w:type="dxa"/>
          <w:bottom w:w="0" w:type="dxa"/>
          <w:right w:w="0" w:type="dxa"/>
        </w:tblCellMar>
      </w:tblPr>
      <w:tblGrid>
        <w:gridCol w:w="4115"/>
        <w:gridCol w:w="60"/>
        <w:gridCol w:w="67"/>
        <w:gridCol w:w="1390"/>
        <w:gridCol w:w="67"/>
        <w:gridCol w:w="67"/>
        <w:gridCol w:w="67"/>
        <w:gridCol w:w="1390"/>
        <w:gridCol w:w="60"/>
        <w:gridCol w:w="60"/>
        <w:gridCol w:w="65"/>
        <w:gridCol w:w="1326"/>
        <w:gridCol w:w="65"/>
        <w:gridCol w:w="65"/>
        <w:gridCol w:w="65"/>
        <w:gridCol w:w="1195"/>
        <w:gridCol w:w="81"/>
      </w:tblGrid>
      <w:tr>
        <w:trPr/>
        <w:tc>
          <w:tcPr>
            <w:tcW w:w="4115" w:type="dxa"/>
            <w:tcBorders/>
            <w:vAlign w:val="center"/>
          </w:tcPr>
          <w:p>
            <w:pPr>
              <w:pStyle w:val="TableContents"/>
              <w:bidi w:val="0"/>
              <w:spacing w:before="0" w:after="283"/>
              <w:jc w:val="left"/>
              <w:rPr/>
            </w:pPr>
            <w:bookmarkStart w:id="654" w:name="xdx_8B8_zs1ZwbVsXC6e"/>
            <w:bookmarkEnd w:id="654"/>
            <w:r>
              <w:rPr/>
              <w:t>Schedule of anti-dilutive shares</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bookmarkStart w:id="655" w:name="xdx_499_20260401__20260630_zx5rJrUp9s8a"/>
            <w:bookmarkEnd w:id="655"/>
          </w:p>
        </w:tc>
        <w:tc>
          <w:tcPr>
            <w:tcW w:w="1390" w:type="dxa"/>
            <w:tcBorders/>
            <w:vAlign w:val="center"/>
          </w:tcPr>
          <w:p>
            <w:pPr>
              <w:pStyle w:val="TableContents"/>
              <w:bidi w:val="0"/>
              <w:spacing w:before="0" w:after="283"/>
              <w:jc w:val="center"/>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bookmarkStart w:id="656" w:name="xdx_493_20250401__20250630_zYtHnsExHS9"/>
            <w:bookmarkEnd w:id="656"/>
          </w:p>
        </w:tc>
        <w:tc>
          <w:tcPr>
            <w:tcW w:w="13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bookmarkStart w:id="657" w:name="xdx_491_20260101__20260630_zygwNWKjlPjk"/>
            <w:bookmarkEnd w:id="657"/>
          </w:p>
        </w:tc>
        <w:tc>
          <w:tcPr>
            <w:tcW w:w="1326" w:type="dxa"/>
            <w:tcBorders/>
            <w:vAlign w:val="center"/>
          </w:tcPr>
          <w:p>
            <w:pPr>
              <w:pStyle w:val="TableContents"/>
              <w:bidi w:val="0"/>
              <w:spacing w:before="0" w:after="283"/>
              <w:jc w:val="center"/>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bookmarkStart w:id="658" w:name="xdx_49F_20250101__20250630_zzx1tKMvhPXb"/>
            <w:bookmarkEnd w:id="658"/>
          </w:p>
        </w:tc>
        <w:tc>
          <w:tcPr>
            <w:tcW w:w="1195"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3048"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78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81" w:type="dxa"/>
            <w:tcBorders/>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7"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pPr>
            <w:r>
              <w:rPr/>
              <w:t> </w:t>
            </w:r>
          </w:p>
        </w:tc>
        <w:tc>
          <w:tcPr>
            <w:tcW w:w="145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2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1" w:type="dxa"/>
            <w:tcBorders/>
            <w:vAlign w:val="center"/>
          </w:tcPr>
          <w:p>
            <w:pPr>
              <w:pStyle w:val="TableContents"/>
              <w:bidi w:val="0"/>
              <w:spacing w:before="0" w:after="283"/>
              <w:jc w:val="left"/>
              <w:rPr/>
            </w:pPr>
            <w:r>
              <w:rPr/>
              <w:t> </w:t>
            </w:r>
            <w:bookmarkStart w:id="659" w:name="xdx_40A_eus-gaap--AntidilutiveSecurities"/>
            <w:bookmarkEnd w:id="659"/>
          </w:p>
        </w:tc>
      </w:tr>
      <w:tr>
        <w:trPr/>
        <w:tc>
          <w:tcPr>
            <w:tcW w:w="4115" w:type="dxa"/>
            <w:tcBorders/>
            <w:shd w:fill="CCEEFF" w:val="clear"/>
            <w:vAlign w:val="center"/>
          </w:tcPr>
          <w:p>
            <w:pPr>
              <w:pStyle w:val="TableContents"/>
              <w:bidi w:val="0"/>
              <w:spacing w:before="0" w:after="283"/>
              <w:jc w:val="left"/>
              <w:rPr/>
            </w:pPr>
            <w:r>
              <w:rPr/>
              <w:t>Series C Preferred Shares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11,983,000</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11,983,000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bookmarkStart w:id="660" w:name="xdx_407_eus-gaap--AntidilutiveSecurities"/>
            <w:bookmarkEnd w:id="660"/>
          </w:p>
        </w:tc>
      </w:tr>
      <w:tr>
        <w:trPr/>
        <w:tc>
          <w:tcPr>
            <w:tcW w:w="4115" w:type="dxa"/>
            <w:tcBorders/>
            <w:shd w:fill="FFFFFF" w:val="clear"/>
            <w:vAlign w:val="center"/>
          </w:tcPr>
          <w:p>
            <w:pPr>
              <w:pStyle w:val="TableContents"/>
              <w:bidi w:val="0"/>
              <w:spacing w:before="0" w:after="283"/>
              <w:jc w:val="left"/>
              <w:rPr/>
            </w:pPr>
            <w:r>
              <w:rPr/>
              <w:t>Series D Preferred Shares</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34,677,751</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pPr>
            <w:r>
              <w:rPr/>
              <w:t>34,677,751</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bookmarkStart w:id="661" w:name="xdx_40A_eus-gaap--AntidilutiveSecurities"/>
            <w:bookmarkEnd w:id="661"/>
          </w:p>
        </w:tc>
      </w:tr>
      <w:tr>
        <w:trPr/>
        <w:tc>
          <w:tcPr>
            <w:tcW w:w="4115" w:type="dxa"/>
            <w:tcBorders/>
            <w:shd w:fill="CCEEFF" w:val="clear"/>
            <w:vAlign w:val="center"/>
          </w:tcPr>
          <w:p>
            <w:pPr>
              <w:pStyle w:val="TableContents"/>
              <w:bidi w:val="0"/>
              <w:spacing w:before="0" w:after="283"/>
              <w:jc w:val="left"/>
              <w:rPr/>
            </w:pPr>
            <w:r>
              <w:rPr/>
              <w:t>Senior Secured Notes, including accrued interest</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168,184</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140,612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168,184</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140,612</w:t>
            </w:r>
          </w:p>
        </w:tc>
        <w:tc>
          <w:tcPr>
            <w:tcW w:w="81" w:type="dxa"/>
            <w:tcBorders/>
            <w:shd w:fill="CCEEFF" w:val="clear"/>
            <w:vAlign w:val="center"/>
          </w:tcPr>
          <w:p>
            <w:pPr>
              <w:pStyle w:val="TableContents"/>
              <w:bidi w:val="0"/>
              <w:spacing w:before="0" w:after="283"/>
              <w:jc w:val="left"/>
              <w:rPr/>
            </w:pPr>
            <w:r>
              <w:rPr/>
              <w:t> </w:t>
            </w:r>
            <w:bookmarkStart w:id="662" w:name="xdx_408_eus-gaap--AntidilutiveSecurities"/>
            <w:bookmarkEnd w:id="662"/>
          </w:p>
        </w:tc>
      </w:tr>
      <w:tr>
        <w:trPr/>
        <w:tc>
          <w:tcPr>
            <w:tcW w:w="4115" w:type="dxa"/>
            <w:tcBorders/>
            <w:shd w:fill="FFFFFF" w:val="clear"/>
            <w:vAlign w:val="center"/>
          </w:tcPr>
          <w:p>
            <w:pPr>
              <w:pStyle w:val="TableContents"/>
              <w:bidi w:val="0"/>
              <w:spacing w:before="0" w:after="283"/>
              <w:jc w:val="left"/>
              <w:rPr/>
            </w:pPr>
            <w:r>
              <w:rPr/>
              <w:t>Convertible Notes, excluding accrued interest</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75,000,000</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pPr>
            <w:r>
              <w:rPr/>
              <w:t>75,000,000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bookmarkStart w:id="663" w:name="xdx_402_eus-gaap--AntidilutiveSecurities"/>
            <w:bookmarkEnd w:id="663"/>
          </w:p>
        </w:tc>
      </w:tr>
      <w:tr>
        <w:trPr/>
        <w:tc>
          <w:tcPr>
            <w:tcW w:w="4115" w:type="dxa"/>
            <w:tcBorders/>
            <w:shd w:fill="CCEEFF" w:val="clear"/>
            <w:vAlign w:val="center"/>
          </w:tcPr>
          <w:p>
            <w:pPr>
              <w:pStyle w:val="TableContents"/>
              <w:bidi w:val="0"/>
              <w:spacing w:before="0" w:after="283"/>
              <w:jc w:val="left"/>
              <w:rPr/>
            </w:pPr>
            <w:r>
              <w:rPr/>
              <w:t>Warrants to purchase common stock</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85,063,587</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62,549,982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85,063,587</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62,549,982</w:t>
            </w:r>
          </w:p>
        </w:tc>
        <w:tc>
          <w:tcPr>
            <w:tcW w:w="81" w:type="dxa"/>
            <w:tcBorders/>
            <w:shd w:fill="CCEEFF" w:val="clear"/>
            <w:vAlign w:val="center"/>
          </w:tcPr>
          <w:p>
            <w:pPr>
              <w:pStyle w:val="TableContents"/>
              <w:bidi w:val="0"/>
              <w:spacing w:before="0" w:after="283"/>
              <w:jc w:val="left"/>
              <w:rPr/>
            </w:pPr>
            <w:r>
              <w:rPr/>
              <w:t> </w:t>
            </w:r>
            <w:bookmarkStart w:id="664" w:name="xdx_40C_eus-gaap--AntidilutiveSecurities"/>
            <w:bookmarkEnd w:id="664"/>
          </w:p>
        </w:tc>
      </w:tr>
      <w:tr>
        <w:trPr/>
        <w:tc>
          <w:tcPr>
            <w:tcW w:w="4115" w:type="dxa"/>
            <w:tcBorders/>
            <w:shd w:fill="FFFFFF" w:val="clear"/>
            <w:vAlign w:val="center"/>
          </w:tcPr>
          <w:p>
            <w:pPr>
              <w:pStyle w:val="TableContents"/>
              <w:bidi w:val="0"/>
              <w:spacing w:before="0" w:after="283"/>
              <w:jc w:val="left"/>
              <w:rPr/>
            </w:pPr>
            <w:r>
              <w:rPr/>
              <w:t>Stock options to purchase common stock</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50,843,036</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1,103,451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pPr>
            <w:r>
              <w:rPr/>
              <w:t>50,843,036</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1,103,451</w:t>
            </w:r>
          </w:p>
        </w:tc>
        <w:tc>
          <w:tcPr>
            <w:tcW w:w="81" w:type="dxa"/>
            <w:tcBorders/>
            <w:shd w:fill="FFFFFF" w:val="clear"/>
            <w:vAlign w:val="center"/>
          </w:tcPr>
          <w:p>
            <w:pPr>
              <w:pStyle w:val="TableContents"/>
              <w:bidi w:val="0"/>
              <w:spacing w:before="0" w:after="283"/>
              <w:jc w:val="left"/>
              <w:rPr/>
            </w:pPr>
            <w:r>
              <w:rPr/>
              <w:t> </w:t>
            </w:r>
            <w:bookmarkStart w:id="665" w:name="xdx_403_eus-gaap--AntidilutiveSecurities"/>
            <w:bookmarkEnd w:id="665"/>
          </w:p>
        </w:tc>
      </w:tr>
      <w:tr>
        <w:trPr/>
        <w:tc>
          <w:tcPr>
            <w:tcW w:w="4115" w:type="dxa"/>
            <w:tcBorders/>
            <w:shd w:fill="CCEEFF" w:val="clear"/>
            <w:vAlign w:val="center"/>
          </w:tcPr>
          <w:p>
            <w:pPr>
              <w:pStyle w:val="TableContents"/>
              <w:bidi w:val="0"/>
              <w:spacing w:before="0" w:after="283"/>
              <w:jc w:val="left"/>
              <w:rPr/>
            </w:pPr>
            <w:r>
              <w:rPr/>
              <w:t>Unvested Shares</w:t>
            </w:r>
          </w:p>
        </w:tc>
        <w:tc>
          <w:tcPr>
            <w:tcW w:w="60"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1,129,630</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390" w:type="dxa"/>
            <w:tcBorders/>
            <w:shd w:fill="CCEEFF" w:val="clear"/>
            <w:vAlign w:val="center"/>
          </w:tcPr>
          <w:p>
            <w:pPr>
              <w:pStyle w:val="TableContents"/>
              <w:bidi w:val="0"/>
              <w:spacing w:before="0" w:after="283"/>
              <w:jc w:val="right"/>
              <w:rPr/>
            </w:pPr>
            <w:r>
              <w:rPr/>
              <w:t>1,129,630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26" w:type="dxa"/>
            <w:tcBorders/>
            <w:shd w:fill="CCEEFF" w:val="clear"/>
            <w:vAlign w:val="center"/>
          </w:tcPr>
          <w:p>
            <w:pPr>
              <w:pStyle w:val="TableContents"/>
              <w:bidi w:val="0"/>
              <w:spacing w:before="0" w:after="283"/>
              <w:jc w:val="right"/>
              <w:rPr/>
            </w:pPr>
            <w:r>
              <w:rPr/>
              <w:t>1,129,630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195" w:type="dxa"/>
            <w:tcBorders/>
            <w:shd w:fill="CCEEFF" w:val="clear"/>
            <w:vAlign w:val="center"/>
          </w:tcPr>
          <w:p>
            <w:pPr>
              <w:pStyle w:val="TableContents"/>
              <w:bidi w:val="0"/>
              <w:spacing w:before="0" w:after="283"/>
              <w:jc w:val="right"/>
              <w:rPr/>
            </w:pPr>
            <w:r>
              <w:rPr/>
              <w:t>1,129,630</w:t>
            </w:r>
          </w:p>
        </w:tc>
        <w:tc>
          <w:tcPr>
            <w:tcW w:w="81" w:type="dxa"/>
            <w:tcBorders/>
            <w:shd w:fill="CCEEFF" w:val="clear"/>
            <w:vAlign w:val="center"/>
          </w:tcPr>
          <w:p>
            <w:pPr>
              <w:pStyle w:val="TableContents"/>
              <w:bidi w:val="0"/>
              <w:spacing w:before="0" w:after="283"/>
              <w:jc w:val="left"/>
              <w:rPr/>
            </w:pPr>
            <w:r>
              <w:rPr/>
              <w:t> </w:t>
            </w:r>
            <w:bookmarkStart w:id="666" w:name="xdx_407_eus-gaap--AntidilutiveSecurities"/>
            <w:bookmarkEnd w:id="666"/>
          </w:p>
        </w:tc>
      </w:tr>
      <w:tr>
        <w:trPr/>
        <w:tc>
          <w:tcPr>
            <w:tcW w:w="4115" w:type="dxa"/>
            <w:tcBorders/>
            <w:shd w:fill="FFFFFF" w:val="clear"/>
            <w:vAlign w:val="center"/>
          </w:tcPr>
          <w:p>
            <w:pPr>
              <w:pStyle w:val="TableContents"/>
              <w:bidi w:val="0"/>
              <w:spacing w:before="0" w:after="283"/>
              <w:jc w:val="left"/>
              <w:rPr/>
            </w:pPr>
            <w:r>
              <w:rPr/>
              <w:t>Restricted stock</w:t>
            </w:r>
          </w:p>
        </w:tc>
        <w:tc>
          <w:tcPr>
            <w:tcW w:w="60"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390" w:type="dxa"/>
            <w:tcBorders/>
            <w:shd w:fill="FFFFFF" w:val="clear"/>
            <w:vAlign w:val="center"/>
          </w:tcPr>
          <w:p>
            <w:pPr>
              <w:pStyle w:val="TableContents"/>
              <w:bidi w:val="0"/>
              <w:spacing w:before="0" w:after="283"/>
              <w:jc w:val="right"/>
              <w:rPr/>
            </w:pPr>
            <w:r>
              <w:rPr/>
              <w:t>65,000,000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26" w:type="dxa"/>
            <w:tcBorders/>
            <w:shd w:fill="FFFFFF" w:val="clear"/>
            <w:vAlign w:val="center"/>
          </w:tcPr>
          <w:p>
            <w:pPr>
              <w:pStyle w:val="TableContents"/>
              <w:bidi w:val="0"/>
              <w:spacing w:before="0" w:after="283"/>
              <w:jc w:val="right"/>
              <w:rPr/>
            </w:pPr>
            <w:r>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195" w:type="dxa"/>
            <w:tcBorders/>
            <w:shd w:fill="FFFFFF" w:val="clear"/>
            <w:vAlign w:val="center"/>
          </w:tcPr>
          <w:p>
            <w:pPr>
              <w:pStyle w:val="TableContents"/>
              <w:bidi w:val="0"/>
              <w:spacing w:before="0" w:after="283"/>
              <w:jc w:val="right"/>
              <w:rPr/>
            </w:pPr>
            <w:r>
              <w:rPr/>
              <w:t>–</w:t>
            </w:r>
          </w:p>
        </w:tc>
        <w:tc>
          <w:tcPr>
            <w:tcW w:w="81" w:type="dxa"/>
            <w:tcBorders/>
            <w:shd w:fill="FFFFFF" w:val="clear"/>
            <w:vAlign w:val="center"/>
          </w:tcPr>
          <w:p>
            <w:pPr>
              <w:pStyle w:val="TableContents"/>
              <w:bidi w:val="0"/>
              <w:spacing w:before="0" w:after="283"/>
              <w:jc w:val="left"/>
              <w:rPr/>
            </w:pPr>
            <w:r>
              <w:rPr/>
              <w:t> </w:t>
            </w:r>
            <w:bookmarkStart w:id="667" w:name="xdx_408_eus-gaap--AntidilutiveSecurities"/>
            <w:bookmarkEnd w:id="667"/>
          </w:p>
        </w:tc>
      </w:tr>
      <w:tr>
        <w:trPr/>
        <w:tc>
          <w:tcPr>
            <w:tcW w:w="4115" w:type="dxa"/>
            <w:tcBorders/>
            <w:shd w:fill="CCEEFF" w:val="clear"/>
            <w:vAlign w:val="center"/>
          </w:tcPr>
          <w:p>
            <w:pPr>
              <w:pStyle w:val="TableContents"/>
              <w:bidi w:val="0"/>
              <w:spacing w:before="0" w:after="283"/>
              <w:jc w:val="left"/>
              <w:rPr/>
            </w:pPr>
            <w:r>
              <w:rPr/>
              <w:t>Restricted stock units</w:t>
            </w:r>
          </w:p>
        </w:tc>
        <w:tc>
          <w:tcPr>
            <w:tcW w:w="60"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pPr>
            <w:r>
              <w:rPr/>
              <w:t>25,000</w:t>
            </w:r>
          </w:p>
        </w:tc>
        <w:tc>
          <w:tcPr>
            <w:tcW w:w="67"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6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90" w:type="dxa"/>
            <w:tcBorders>
              <w:bottom w:val="single" w:sz="8" w:space="0" w:color="000000"/>
            </w:tcBorders>
            <w:shd w:fill="CCEEFF" w:val="clear"/>
            <w:tcMar>
              <w:bottom w:w="28" w:type="dxa"/>
            </w:tcMar>
            <w:vAlign w:val="center"/>
          </w:tcPr>
          <w:p>
            <w:pPr>
              <w:pStyle w:val="TableContents"/>
              <w:bidi w:val="0"/>
              <w:spacing w:before="0" w:after="283"/>
              <w:jc w:val="right"/>
              <w:rPr/>
            </w:pPr>
            <w:r>
              <w:rPr/>
              <w:t>25,000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26" w:type="dxa"/>
            <w:tcBorders>
              <w:bottom w:val="single" w:sz="8" w:space="0" w:color="000000"/>
            </w:tcBorders>
            <w:shd w:fill="CCEEFF" w:val="clear"/>
            <w:tcMar>
              <w:bottom w:w="28" w:type="dxa"/>
            </w:tcMar>
            <w:vAlign w:val="center"/>
          </w:tcPr>
          <w:p>
            <w:pPr>
              <w:pStyle w:val="TableContents"/>
              <w:bidi w:val="0"/>
              <w:spacing w:before="0" w:after="283"/>
              <w:jc w:val="right"/>
              <w:rPr/>
            </w:pPr>
            <w:r>
              <w:rPr/>
              <w:t>25,000</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95" w:type="dxa"/>
            <w:tcBorders>
              <w:bottom w:val="single" w:sz="8" w:space="0" w:color="000000"/>
            </w:tcBorders>
            <w:shd w:fill="CCEEFF" w:val="clear"/>
            <w:tcMar>
              <w:bottom w:w="28" w:type="dxa"/>
            </w:tcMar>
            <w:vAlign w:val="center"/>
          </w:tcPr>
          <w:p>
            <w:pPr>
              <w:pStyle w:val="TableContents"/>
              <w:bidi w:val="0"/>
              <w:spacing w:before="0" w:after="283"/>
              <w:jc w:val="right"/>
              <w:rPr/>
            </w:pPr>
            <w:r>
              <w:rPr/>
              <w:t>25,000</w:t>
            </w:r>
          </w:p>
        </w:tc>
        <w:tc>
          <w:tcPr>
            <w:tcW w:w="81" w:type="dxa"/>
            <w:tcBorders/>
            <w:shd w:fill="CCEEFF" w:val="clear"/>
            <w:vAlign w:val="center"/>
          </w:tcPr>
          <w:p>
            <w:pPr>
              <w:pStyle w:val="TableContents"/>
              <w:bidi w:val="0"/>
              <w:spacing w:before="0" w:after="283"/>
              <w:jc w:val="left"/>
              <w:rPr/>
            </w:pPr>
            <w:r>
              <w:rPr/>
              <w:t> </w:t>
            </w:r>
            <w:bookmarkStart w:id="668" w:name="xdx_403_eus-gaap--AntidilutiveSecurities"/>
            <w:bookmarkEnd w:id="668"/>
          </w:p>
        </w:tc>
      </w:tr>
      <w:tr>
        <w:trPr/>
        <w:tc>
          <w:tcPr>
            <w:tcW w:w="4115" w:type="dxa"/>
            <w:tcBorders/>
            <w:shd w:fill="FFFFFF" w:val="clear"/>
            <w:vAlign w:val="center"/>
          </w:tcPr>
          <w:p>
            <w:pPr>
              <w:pStyle w:val="TableContents"/>
              <w:bidi w:val="0"/>
              <w:spacing w:before="0" w:after="283"/>
              <w:jc w:val="left"/>
              <w:rPr>
                <w:b/>
              </w:rPr>
            </w:pPr>
            <w:r>
              <w:rPr>
                <w:b/>
              </w:rPr>
              <w:t>Anti-dilutive shares</w:t>
            </w:r>
          </w:p>
        </w:tc>
        <w:tc>
          <w:tcPr>
            <w:tcW w:w="60"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90" w:type="dxa"/>
            <w:tcBorders>
              <w:bottom w:val="double" w:sz="6" w:space="0" w:color="000000"/>
            </w:tcBorders>
            <w:shd w:fill="FFFFFF" w:val="clear"/>
            <w:tcMar>
              <w:bottom w:w="28" w:type="dxa"/>
            </w:tcMar>
            <w:vAlign w:val="center"/>
          </w:tcPr>
          <w:p>
            <w:pPr>
              <w:pStyle w:val="TableContents"/>
              <w:bidi w:val="0"/>
              <w:spacing w:before="0" w:after="283"/>
              <w:jc w:val="right"/>
              <w:rPr/>
            </w:pPr>
            <w:r>
              <w:rPr/>
              <w:t>258,890,188</w:t>
            </w:r>
          </w:p>
        </w:tc>
        <w:tc>
          <w:tcPr>
            <w:tcW w:w="67"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6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90" w:type="dxa"/>
            <w:tcBorders>
              <w:bottom w:val="double" w:sz="6" w:space="0" w:color="000000"/>
            </w:tcBorders>
            <w:shd w:fill="FFFFFF" w:val="clear"/>
            <w:tcMar>
              <w:bottom w:w="28" w:type="dxa"/>
            </w:tcMar>
            <w:vAlign w:val="center"/>
          </w:tcPr>
          <w:p>
            <w:pPr>
              <w:pStyle w:val="TableContents"/>
              <w:bidi w:val="0"/>
              <w:spacing w:before="0" w:after="283"/>
              <w:jc w:val="right"/>
              <w:rPr/>
            </w:pPr>
            <w:r>
              <w:rPr/>
              <w:t>129,948,675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26" w:type="dxa"/>
            <w:tcBorders>
              <w:bottom w:val="double" w:sz="6" w:space="0" w:color="000000"/>
            </w:tcBorders>
            <w:shd w:fill="FFFFFF" w:val="clear"/>
            <w:tcMar>
              <w:bottom w:w="28" w:type="dxa"/>
            </w:tcMar>
            <w:vAlign w:val="center"/>
          </w:tcPr>
          <w:p>
            <w:pPr>
              <w:pStyle w:val="TableContents"/>
              <w:bidi w:val="0"/>
              <w:spacing w:before="0" w:after="283"/>
              <w:jc w:val="right"/>
              <w:rPr/>
            </w:pPr>
            <w:r>
              <w:rPr/>
              <w:t>258,890,188</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95" w:type="dxa"/>
            <w:tcBorders>
              <w:bottom w:val="double" w:sz="6" w:space="0" w:color="000000"/>
            </w:tcBorders>
            <w:shd w:fill="FFFFFF" w:val="clear"/>
            <w:tcMar>
              <w:bottom w:w="28" w:type="dxa"/>
            </w:tcMar>
            <w:vAlign w:val="center"/>
          </w:tcPr>
          <w:p>
            <w:pPr>
              <w:pStyle w:val="TableContents"/>
              <w:bidi w:val="0"/>
              <w:spacing w:before="0" w:after="283"/>
              <w:jc w:val="right"/>
              <w:rPr/>
            </w:pPr>
            <w:r>
              <w:rPr/>
              <w:t>64,948,675</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bookmarkStart w:id="669" w:name="xdx_8A2_zclvrzZvCeVi"/>
      <w:bookmarkEnd w:id="669"/>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70" w:name="xdx_801_eus-gaap--SubsequentEventsTextBl"/>
      <w:bookmarkEnd w:id="670"/>
      <w:r>
        <w:rPr>
          <w:rFonts w:ascii="Times New Roman;Times;Serif" w:hAnsi="Times New Roman;Times;Serif"/>
          <w:b/>
          <w:i w:val="false"/>
          <w:caps w:val="false"/>
          <w:smallCaps w:val="false"/>
          <w:sz w:val="20"/>
        </w:rPr>
        <w:t xml:space="preserve">12. </w:t>
      </w:r>
      <w:bookmarkStart w:id="671" w:name="xdx_825_zl0bEgHuhQYj"/>
      <w:bookmarkEnd w:id="671"/>
      <w:r>
        <w:rPr>
          <w:rFonts w:ascii="Times New Roman;Times;Serif" w:hAnsi="Times New Roman;Times;Serif"/>
          <w:b/>
          <w:i w:val="false"/>
          <w:caps w:val="false"/>
          <w:smallCaps w:val="false"/>
          <w:sz w:val="20"/>
        </w:rPr>
        <w:t>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evaluated all events subsequent to June 30, 2026 and through August 14, 2026, which represents the date these unaudited condensed consolidated financial statements were available to be issued.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June 30, 2026, the Company granted options exercisable into 200,000 shares of its Common Stock to its employees and advisors. The stock options vest monthly over a two-year period and are exercisable at a weighted average price of $0.91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bookmarkStart w:id="672" w:name="xdx_814_zEJAdsIkED"/>
      <w:bookmarkEnd w:id="672"/>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73" w:name="q2_008"/>
      <w:bookmarkEnd w:id="673"/>
      <w:r>
        <w:rPr>
          <w:rFonts w:ascii="Times New Roman;Times;Serif" w:hAnsi="Times New Roman;Times;Serif"/>
          <w:b/>
          <w:i w:val="false"/>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You should read the following discussion and analysis of our financial condition and results of operations together with our unaudited consolidated financial statements and the notes thereto included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uncertainties and assumptions. You should read the “Forward-Looking Statements” and “Risk Factors” sections of this Quarterly Report on Form 10-Q, which describe factors or events that could cause our actual results to differ materially from the results described in or implied by the forward-looking statements contained in the following discussion and analysis.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Cautionary Note Regarding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contains forward-looking statements within the meaning of the Private Securities Litigation Reform Act of 1995, including statements regarding our expectations for prospective future growth, cash flows, ability to service outstanding debt obligations, operating results, potential future trends and developments within our industry and the U.S. and global economies generally, plans and expectations for the Company, our future business plan and capital raising efforts, expectations and plans with respect to our products and services including the potential market for, timing, features, and demand for such products and services, and liquidity. Forward-looking statements are prefaced by words such as “anticipate,” “expect,” “plan,” “could,” “may,” “will,” “should,” “would,” “intend,” “seem,” “potential,” “appear,” “continue,” “future,” believe,” “estimate,” “forecast,” “project,” and similar words and expressions. We have based these forward-looking statements largely on our current expectations and assumptions regarding our business, the economy and other future conditions. Because forward-looking statements are based on current expectations and projections about future events and financial trends, they are subject to inherent uncertainties, risks and changes in circumstances that are difficult to predict. We caution you, therefore, against relying on any of these forward-looking statements.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results anticipated by any or all of these forward-looking statements might not occur. Our actual results may differ materially from those contemplated by the forward-looking statements for a variety of reasons, including, without limitation, the possibility that estimates, projections and assumptions on which the forward-looking statements are based prove to be incorrect, our ability to raise the necessary capital to re-establish material operations and generate revenue and the terms and timing of any related transactions, central bank interest rates and future interest rate changes, the risks arising from the impact of inflation, tariffs and tariff litigation, the impact of the war with Iran, the deterioration of the labor market of the United States, a recession which may result on the Company’s business, prospective customers, and on the national and global economy, our ability to attract customers to our products and services, the potential for regulatory changes impacting quantum computing, artificial intelligence, data privacy and other areas that impact the Company’s business, and the ability of us and third parties on which we depend to comply with applicable regulatory requirements, the risk that software and technology infrastructure on which we depend fail to perform as designed or intended, and the risks and uncertainties disclosed in our Form 10-K for the year ended December 31 2025 filed with the SEC. Any forward-looking statement made by us speaks only as of the date on which it is made.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 except as may be required by law.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is a leading pure-play hardware-agnostic quantum software company. Following a strategic realignment in 2025, the Company offers subscription-based solutions to efficiently deploy and accelerate the development of quantum and hybrid quantum-classical computing applications. Founded in 2017 by researchers from a Harvard University Quantum Computing Lab, Zapata has built one of the industry’s most robust intellectual property portfolios in quantum and hybrid quantum-classical computing and algorithmic methods, with over 60 patents, granted and pending, developed over eight years.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Zapata’s software platform for quantum computing applications is based on our patented technology and supports a wide range of use cases in cryptography, pharmaceuticals, manufacturing, materials discovery and defense. To the Company’s knowledge, it is the only organization to have participated across all technical areas of the Defense Advanced Research Projects Agency’s (“DARPA”)’s Quantum Benchmarking program and it has worked with Fortune 500 enterprises and government agencies to unlock the potential of quantum computing.</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 period of broader AI exploration, the Company undertook, in 2024 and 2025, a strategic realignment to refocus on its core quantum mission: developing the software and tooling layer that enables enterprises, governments, and researchers to harness quantum computing for economically meaningful outcomes.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late 2024 the Company voluntarily elected to temporarily suspend its operations due to its limited capital resources and inability to access adequate liquidity to continue to fund its operations and meet its outstanding debt obligations. In June 2025, the Company commenced debt restructuring and capital raising transactions and the reinstatement of operations by (1) entering into exchange agreements with unsecured creditors pursuant to which such creditors agreed to exchange outstanding obligations payable to them for Common Stock and certain rights related thereto, and (2) the Company sold convertible notes and warrants for gross proceeds of $3 million. The Company has since been continuing efforts to negotiate and restructure outstanding obligations and raise capital. In the furtherance of scaling operations, the Company has also entered into advisory agreements with third parties and agreed to compensate such parties in the form of equity and/or cash compensation.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Zapata’s hardware-agnostic approach and proprietary technology address the “software bottleneck” that limits quantum adoption. The Company’s products - Orquestra, Bench-Q, Quantum Graph, and Quantum Pilot - provide the infrastructure and workflow tools that connect problem discovery, algorithm design, and hardware execution. These tools are supported by professional services, partnerships, and licensing programs that collectively form the Company’s business model.</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In April 2026, we sold and issued to accredited investors a total of 15,000 shares of Series D (which are convertible into 34,160,784 shares of Common Stock, subject to adjustment) and Warrants to purchase up to 17,080,392 shares of Common Stock (representing 50% warrant coverage on an as-converted basis) for total gross proceeds of $15 million. We received net proceeds of $13.8 million after deducting commissions and fees. W</w:t>
      </w:r>
      <w:r>
        <w:rPr>
          <w:rFonts w:ascii="Times New Roman;Times;Serif" w:hAnsi="Times New Roman;Times;Serif"/>
          <w:b w:val="false"/>
          <w:i w:val="false"/>
          <w:caps w:val="false"/>
          <w:smallCaps w:val="false"/>
          <w:sz w:val="20"/>
        </w:rPr>
        <w:t>e intend to use the net proceeds for working capital and general corporate purposes.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part of the Offering, we entered into a Securities Purchase Agreement and Registration Rights Agreement with the investors. The terms of the Securities Purchase Agreement, Series D, Warrants, and Registration Rights Agreement were previously disclosed in the Current Report on Form 8-K filed on April 8, 2026.</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“Liquidity and Capital Resources” below for additional information.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Components of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revenue historically was generated primarily from sales of subscriptions to our software platform and related services. Subscriptions to our software platform are offered as stand-ready access to our cloud environment on an annual or multi-year basis. We may also offer consulting services in the form of stand-ready scientific and software engineering services, which are typically only offered in conjunction with our software platform. We evaluate our contracts at inception to determine if the terms represent a single, combined performance obligation or multiple performance obligations. We generated no revenue in each of the three and six months ended June 30, 2026 and June 30,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Cost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 includes expenses related to supporting product offerings. Our primary cost of revenue is personnel costs, including salaries and other personnel-related expense. Cost of revenue also includes costs relating to our information technology and systems, including depreciation, network costs, data center maintenance, database management and data processing costs. We allocate these overhead expenses based on headcount and thus are reflected in cost of revenue and each operating expense category.</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consist primarily of personnel-related costs, including salaries and wages, benefits, commissions, bonuses and stock-based compensation expense for our employees engaged in sales and sales support, business development, marketing, corporate partnerships, and customer service functions. Sales and marketing expenses also include costs incurred for market research, tradeshows, branding, marketing, promotional expense, and public relations, as well as facilities and other supporting overhead costs, including depreciation and amortization. Sales and marketing expenses are primarily driven by investments in the growth of our business. We expect sales and marketing expenses, expressed as a percentage of revenue, to vary from period to period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personnel-related costs, including salaries and wages, benefits, bonuses, and stock-based compensation expense for our scientists, engineers and other employees engaged in the research and development of our products. In addition, research and development expenses include third party software subscription costs, facilities and other supporting overhead costs, including depreciation and amortization. Research and development costs are expensed as incurred.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personnel-related costs, including salaries and wages, bonuses, benefits, and stock-based compensation expense for our finance, legal, information technology, human resources, and other administrative personnel. General and administrative expenses also include facilities and supporting overhead costs, including depreciation and amortization, and external professional services.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expense, net consists primarily of fair value adjustments related to our Senior Secured Notes and derivative contract in connection with our Forward Purchase Agreement, interest income, interest expense and foreign exchange gains and losses from our international operations.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three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497"/>
        <w:gridCol w:w="60"/>
        <w:gridCol w:w="232"/>
        <w:gridCol w:w="1053"/>
        <w:gridCol w:w="157"/>
        <w:gridCol w:w="99"/>
        <w:gridCol w:w="232"/>
        <w:gridCol w:w="928"/>
        <w:gridCol w:w="95"/>
        <w:gridCol w:w="60"/>
        <w:gridCol w:w="147"/>
        <w:gridCol w:w="668"/>
        <w:gridCol w:w="95"/>
        <w:gridCol w:w="60"/>
        <w:gridCol w:w="60"/>
        <w:gridCol w:w="649"/>
        <w:gridCol w:w="113"/>
      </w:tblGrid>
      <w:tr>
        <w:trPr/>
        <w:tc>
          <w:tcPr>
            <w:tcW w:w="54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01"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54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28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57"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3" w:type="dxa"/>
            <w:tcBorders/>
            <w:vAlign w:val="center"/>
          </w:tcPr>
          <w:p>
            <w:pPr>
              <w:pStyle w:val="TableContents"/>
              <w:bidi w:val="0"/>
              <w:spacing w:before="0" w:after="283"/>
              <w:jc w:val="left"/>
              <w:rPr/>
            </w:pPr>
            <w:r>
              <w:rPr/>
              <w:t> </w:t>
            </w:r>
          </w:p>
        </w:tc>
      </w:tr>
      <w:tr>
        <w:trPr/>
        <w:tc>
          <w:tcPr>
            <w:tcW w:w="549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701" w:type="dxa"/>
            <w:gridSpan w:val="6"/>
            <w:tcBorders/>
            <w:vAlign w:val="center"/>
          </w:tcPr>
          <w:p>
            <w:pPr>
              <w:pStyle w:val="TableContents"/>
              <w:bidi w:val="0"/>
              <w:spacing w:before="0" w:after="283"/>
              <w:jc w:val="center"/>
              <w:rPr>
                <w:b/>
              </w:rPr>
            </w:pPr>
            <w:r>
              <w:rPr>
                <w:b/>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9"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5497"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053" w:type="dxa"/>
            <w:tcBorders/>
            <w:shd w:fill="CCEEFF" w:val="clear"/>
            <w:vAlign w:val="center"/>
          </w:tcPr>
          <w:p>
            <w:pPr>
              <w:pStyle w:val="TableContents"/>
              <w:bidi w:val="0"/>
              <w:spacing w:before="0" w:after="283"/>
              <w:jc w:val="right"/>
              <w:rPr/>
            </w:pPr>
            <w:r>
              <w:rPr/>
              <w:t>–</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92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w:t>
            </w:r>
            <w:r>
              <w:rPr/>
              <w:t>%</w:t>
            </w:r>
          </w:p>
        </w:tc>
        <w:tc>
          <w:tcPr>
            <w:tcW w:w="113" w:type="dxa"/>
            <w:tcBorders/>
            <w:shd w:fill="CCEEFF" w:val="clear"/>
            <w:vAlign w:val="center"/>
          </w:tcPr>
          <w:p>
            <w:pPr>
              <w:pStyle w:val="TableContents"/>
              <w:bidi w:val="0"/>
              <w:spacing w:before="0" w:after="283"/>
              <w:jc w:val="left"/>
              <w:rPr/>
            </w:pPr>
            <w:r>
              <w:rPr/>
              <w:t> </w:t>
            </w:r>
          </w:p>
        </w:tc>
      </w:tr>
      <w:tr>
        <w:trPr/>
        <w:tc>
          <w:tcPr>
            <w:tcW w:w="5497"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97"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9"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3" w:type="dxa"/>
            <w:tcBorders/>
            <w:shd w:fill="CCEEFF" w:val="clear"/>
            <w:vAlign w:val="center"/>
          </w:tcPr>
          <w:p>
            <w:pPr>
              <w:pStyle w:val="TableContents"/>
              <w:bidi w:val="0"/>
              <w:spacing w:before="0" w:after="283"/>
              <w:jc w:val="left"/>
              <w:rPr/>
            </w:pPr>
            <w:r>
              <w:rPr/>
              <w:t> </w:t>
            </w:r>
          </w:p>
        </w:tc>
      </w:tr>
      <w:tr>
        <w:trPr/>
        <w:tc>
          <w:tcPr>
            <w:tcW w:w="5497"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97"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285</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285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sz w:val="20"/>
              </w:rPr>
            </w:pPr>
            <w:r>
              <w:rPr>
                <w:sz w:val="20"/>
              </w:rPr>
              <w:t>N/M</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97"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383</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383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sz w:val="20"/>
              </w:rPr>
            </w:pPr>
            <w:r>
              <w:rPr>
                <w:sz w:val="20"/>
              </w:rPr>
              <w:t>N/M</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97"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pPr>
            <w:r>
              <w:rPr/>
              <w:t>959</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8" w:type="dxa"/>
            <w:tcBorders>
              <w:bottom w:val="single" w:sz="8" w:space="0" w:color="000000"/>
            </w:tcBorders>
            <w:shd w:fill="CCEEFF" w:val="clear"/>
            <w:tcMar>
              <w:bottom w:w="28" w:type="dxa"/>
            </w:tcMar>
            <w:vAlign w:val="center"/>
          </w:tcPr>
          <w:p>
            <w:pPr>
              <w:pStyle w:val="TableContents"/>
              <w:bidi w:val="0"/>
              <w:spacing w:before="0" w:after="283"/>
              <w:jc w:val="right"/>
              <w:rPr/>
            </w:pPr>
            <w:r>
              <w:rPr/>
              <w:t>584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375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9" w:type="dxa"/>
            <w:tcBorders>
              <w:bottom w:val="single" w:sz="8" w:space="0" w:color="000000"/>
            </w:tcBorders>
            <w:shd w:fill="CCEEFF" w:val="clear"/>
            <w:tcMar>
              <w:bottom w:w="28" w:type="dxa"/>
            </w:tcMar>
            <w:vAlign w:val="center"/>
          </w:tcPr>
          <w:p>
            <w:pPr>
              <w:pStyle w:val="TableContents"/>
              <w:bidi w:val="0"/>
              <w:spacing w:before="0" w:after="283"/>
              <w:jc w:val="right"/>
              <w:rPr/>
            </w:pPr>
            <w:r>
              <w:rPr/>
              <w:t>64</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97"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pPr>
            <w:r>
              <w:rPr/>
              <w:t>1,627</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8" w:type="dxa"/>
            <w:tcBorders>
              <w:bottom w:val="single" w:sz="8" w:space="0" w:color="000000"/>
            </w:tcBorders>
            <w:shd w:fill="FFFFFF" w:val="clear"/>
            <w:tcMar>
              <w:bottom w:w="28" w:type="dxa"/>
            </w:tcMar>
            <w:vAlign w:val="center"/>
          </w:tcPr>
          <w:p>
            <w:pPr>
              <w:pStyle w:val="TableContents"/>
              <w:bidi w:val="0"/>
              <w:spacing w:before="0" w:after="283"/>
              <w:jc w:val="right"/>
              <w:rPr/>
            </w:pPr>
            <w:r>
              <w:rPr/>
              <w:t>584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1,043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9" w:type="dxa"/>
            <w:tcBorders>
              <w:bottom w:val="single" w:sz="8" w:space="0" w:color="000000"/>
            </w:tcBorders>
            <w:shd w:fill="FFFFFF" w:val="clear"/>
            <w:tcMar>
              <w:bottom w:w="28" w:type="dxa"/>
            </w:tcMar>
            <w:vAlign w:val="center"/>
          </w:tcPr>
          <w:p>
            <w:pPr>
              <w:pStyle w:val="TableContents"/>
              <w:bidi w:val="0"/>
              <w:spacing w:before="0" w:after="283"/>
              <w:jc w:val="right"/>
              <w:rPr/>
            </w:pPr>
            <w:r>
              <w:rPr/>
              <w:t>179</w:t>
            </w:r>
          </w:p>
        </w:tc>
        <w:tc>
          <w:tcPr>
            <w:tcW w:w="113" w:type="dxa"/>
            <w:tcBorders/>
            <w:shd w:fill="FFFFFF" w:val="clear"/>
            <w:vAlign w:val="center"/>
          </w:tcPr>
          <w:p>
            <w:pPr>
              <w:pStyle w:val="TableContents"/>
              <w:bidi w:val="0"/>
              <w:spacing w:before="0" w:after="283"/>
              <w:jc w:val="left"/>
              <w:rPr/>
            </w:pPr>
            <w:r>
              <w:rPr/>
              <w:t> </w:t>
            </w:r>
          </w:p>
        </w:tc>
      </w:tr>
      <w:tr>
        <w:trPr/>
        <w:tc>
          <w:tcPr>
            <w:tcW w:w="5497"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pPr>
            <w:r>
              <w:rPr/>
              <w:t>(1,627</w:t>
            </w:r>
          </w:p>
        </w:tc>
        <w:tc>
          <w:tcPr>
            <w:tcW w:w="15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8" w:type="dxa"/>
            <w:tcBorders>
              <w:bottom w:val="single" w:sz="8" w:space="0" w:color="000000"/>
            </w:tcBorders>
            <w:shd w:fill="CCEEFF" w:val="clear"/>
            <w:tcMar>
              <w:bottom w:w="28" w:type="dxa"/>
            </w:tcMar>
            <w:vAlign w:val="center"/>
          </w:tcPr>
          <w:p>
            <w:pPr>
              <w:pStyle w:val="TableContents"/>
              <w:bidi w:val="0"/>
              <w:spacing w:before="0" w:after="283"/>
              <w:jc w:val="right"/>
              <w:rPr/>
            </w:pPr>
            <w:r>
              <w:rPr/>
              <w:t>(584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(1,043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9" w:type="dxa"/>
            <w:tcBorders>
              <w:bottom w:val="single" w:sz="8" w:space="0" w:color="000000"/>
            </w:tcBorders>
            <w:shd w:fill="CCEEFF" w:val="clear"/>
            <w:tcMar>
              <w:bottom w:w="28" w:type="dxa"/>
            </w:tcMar>
            <w:vAlign w:val="center"/>
          </w:tcPr>
          <w:p>
            <w:pPr>
              <w:pStyle w:val="TableContents"/>
              <w:bidi w:val="0"/>
              <w:spacing w:before="0" w:after="283"/>
              <w:jc w:val="right"/>
              <w:rPr/>
            </w:pPr>
            <w:r>
              <w:rPr/>
              <w:t>(179</w:t>
            </w:r>
          </w:p>
        </w:tc>
        <w:tc>
          <w:tcPr>
            <w:tcW w:w="113" w:type="dxa"/>
            <w:tcBorders/>
            <w:shd w:fill="CCEEFF" w:val="clear"/>
            <w:vAlign w:val="center"/>
          </w:tcPr>
          <w:p>
            <w:pPr>
              <w:pStyle w:val="TableContents"/>
              <w:bidi w:val="0"/>
              <w:spacing w:before="0" w:after="283"/>
              <w:ind w:left="0" w:right="0" w:hanging="200"/>
              <w:jc w:val="left"/>
              <w:rPr/>
            </w:pPr>
            <w:r>
              <w:rPr/>
              <w:t>)</w:t>
            </w:r>
          </w:p>
        </w:tc>
      </w:tr>
      <w:tr>
        <w:trPr/>
        <w:tc>
          <w:tcPr>
            <w:tcW w:w="5497"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 </w:t>
            </w:r>
          </w:p>
        </w:tc>
        <w:tc>
          <w:tcPr>
            <w:tcW w:w="113" w:type="dxa"/>
            <w:tcBorders/>
            <w:shd w:fill="FFFFFF" w:val="clear"/>
            <w:vAlign w:val="center"/>
          </w:tcPr>
          <w:p>
            <w:pPr>
              <w:pStyle w:val="TableContents"/>
              <w:bidi w:val="0"/>
              <w:spacing w:before="0" w:after="283"/>
              <w:ind w:left="0" w:right="0" w:hanging="200"/>
              <w:jc w:val="left"/>
              <w:rPr/>
            </w:pPr>
            <w:r>
              <w:rPr/>
              <w:t> </w:t>
            </w:r>
          </w:p>
        </w:tc>
      </w:tr>
      <w:tr>
        <w:trPr/>
        <w:tc>
          <w:tcPr>
            <w:tcW w:w="5497"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(229</w:t>
            </w:r>
          </w:p>
        </w:tc>
        <w:tc>
          <w:tcPr>
            <w:tcW w:w="15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(141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62</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97" w:type="dxa"/>
            <w:tcBorders/>
            <w:shd w:fill="FFFFFF" w:val="clear"/>
            <w:vAlign w:val="center"/>
          </w:tcPr>
          <w:p>
            <w:pPr>
              <w:pStyle w:val="TableContents"/>
              <w:bidi w:val="0"/>
              <w:spacing w:before="0" w:after="283"/>
              <w:jc w:val="left"/>
              <w:rPr/>
            </w:pPr>
            <w:r>
              <w:rPr/>
              <w:t>Loss on extinguishment of senior secured note</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(134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134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(100</w:t>
            </w:r>
          </w:p>
        </w:tc>
        <w:tc>
          <w:tcPr>
            <w:tcW w:w="113" w:type="dxa"/>
            <w:tcBorders/>
            <w:shd w:fill="FFFFFF" w:val="clear"/>
            <w:vAlign w:val="center"/>
          </w:tcPr>
          <w:p>
            <w:pPr>
              <w:pStyle w:val="TableContents"/>
              <w:bidi w:val="0"/>
              <w:spacing w:before="0" w:after="283"/>
              <w:ind w:left="0" w:right="0" w:hanging="200"/>
              <w:jc w:val="left"/>
              <w:rPr/>
            </w:pPr>
            <w:r>
              <w:rPr/>
              <w:t>)</w:t>
            </w:r>
          </w:p>
        </w:tc>
      </w:tr>
      <w:tr>
        <w:trPr/>
        <w:tc>
          <w:tcPr>
            <w:tcW w:w="5497" w:type="dxa"/>
            <w:tcBorders/>
            <w:shd w:fill="CCEEFF" w:val="clear"/>
            <w:vAlign w:val="center"/>
          </w:tcPr>
          <w:p>
            <w:pPr>
              <w:pStyle w:val="TableContents"/>
              <w:bidi w:val="0"/>
              <w:spacing w:before="0" w:after="283"/>
              <w:jc w:val="left"/>
              <w:rPr/>
            </w:pPr>
            <w:r>
              <w:rPr/>
              <w:t>Gain on extinguishment of forward purchase agreement settlement liability</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928" w:type="dxa"/>
            <w:tcBorders/>
            <w:shd w:fill="CCEEFF" w:val="clear"/>
            <w:vAlign w:val="center"/>
          </w:tcPr>
          <w:p>
            <w:pPr>
              <w:pStyle w:val="TableContents"/>
              <w:bidi w:val="0"/>
              <w:spacing w:before="0" w:after="283"/>
              <w:jc w:val="right"/>
              <w:rPr/>
            </w:pPr>
            <w:r>
              <w:rPr/>
              <w:t>2,357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(2,357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9" w:type="dxa"/>
            <w:tcBorders/>
            <w:shd w:fill="CCEEFF" w:val="clear"/>
            <w:vAlign w:val="center"/>
          </w:tcPr>
          <w:p>
            <w:pPr>
              <w:pStyle w:val="TableContents"/>
              <w:bidi w:val="0"/>
              <w:spacing w:before="0" w:after="283"/>
              <w:jc w:val="right"/>
              <w:rPr/>
            </w:pPr>
            <w:r>
              <w:rPr/>
              <w:t>(100</w:t>
            </w:r>
          </w:p>
        </w:tc>
        <w:tc>
          <w:tcPr>
            <w:tcW w:w="113" w:type="dxa"/>
            <w:tcBorders/>
            <w:shd w:fill="CCEEFF" w:val="clear"/>
            <w:vAlign w:val="center"/>
          </w:tcPr>
          <w:p>
            <w:pPr>
              <w:pStyle w:val="TableContents"/>
              <w:bidi w:val="0"/>
              <w:spacing w:before="0" w:after="283"/>
              <w:ind w:left="0" w:right="0" w:hanging="200"/>
              <w:jc w:val="left"/>
              <w:rPr/>
            </w:pPr>
            <w:r>
              <w:rPr/>
              <w:t>)</w:t>
            </w:r>
          </w:p>
        </w:tc>
      </w:tr>
      <w:tr>
        <w:trPr/>
        <w:tc>
          <w:tcPr>
            <w:tcW w:w="5497" w:type="dxa"/>
            <w:tcBorders/>
            <w:shd w:fill="FFFFFF" w:val="clear"/>
            <w:vAlign w:val="center"/>
          </w:tcPr>
          <w:p>
            <w:pPr>
              <w:pStyle w:val="TableContents"/>
              <w:bidi w:val="0"/>
              <w:spacing w:before="0" w:after="283"/>
              <w:jc w:val="left"/>
              <w:rPr/>
            </w:pPr>
            <w:r>
              <w:rPr/>
              <w:t>Gain on extinguishment of liabilities</w:t>
            </w:r>
          </w:p>
        </w:tc>
        <w:tc>
          <w:tcPr>
            <w:tcW w:w="60"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w:t>
            </w:r>
          </w:p>
        </w:tc>
        <w:tc>
          <w:tcPr>
            <w:tcW w:w="157"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left"/>
              <w:rPr/>
            </w:pPr>
            <w:r>
              <w:rPr/>
              <w:t> </w:t>
            </w:r>
          </w:p>
        </w:tc>
        <w:tc>
          <w:tcPr>
            <w:tcW w:w="928" w:type="dxa"/>
            <w:tcBorders/>
            <w:shd w:fill="FFFFFF" w:val="clear"/>
            <w:vAlign w:val="center"/>
          </w:tcPr>
          <w:p>
            <w:pPr>
              <w:pStyle w:val="TableContents"/>
              <w:bidi w:val="0"/>
              <w:spacing w:before="0" w:after="283"/>
              <w:jc w:val="right"/>
              <w:rPr/>
            </w:pPr>
            <w:r>
              <w:rPr/>
              <w:t>1,197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(1,197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9" w:type="dxa"/>
            <w:tcBorders/>
            <w:shd w:fill="FFFFFF" w:val="clear"/>
            <w:vAlign w:val="center"/>
          </w:tcPr>
          <w:p>
            <w:pPr>
              <w:pStyle w:val="TableContents"/>
              <w:bidi w:val="0"/>
              <w:spacing w:before="0" w:after="283"/>
              <w:jc w:val="right"/>
              <w:rPr/>
            </w:pPr>
            <w:r>
              <w:rPr/>
              <w:t>(100</w:t>
            </w:r>
          </w:p>
        </w:tc>
        <w:tc>
          <w:tcPr>
            <w:tcW w:w="113" w:type="dxa"/>
            <w:tcBorders/>
            <w:shd w:fill="FFFFFF" w:val="clear"/>
            <w:vAlign w:val="center"/>
          </w:tcPr>
          <w:p>
            <w:pPr>
              <w:pStyle w:val="TableContents"/>
              <w:bidi w:val="0"/>
              <w:spacing w:before="0" w:after="283"/>
              <w:ind w:left="0" w:right="0" w:hanging="200"/>
              <w:jc w:val="left"/>
              <w:rPr/>
            </w:pPr>
            <w:r>
              <w:rPr/>
              <w:t>)</w:t>
            </w:r>
          </w:p>
        </w:tc>
      </w:tr>
      <w:tr>
        <w:trPr/>
        <w:tc>
          <w:tcPr>
            <w:tcW w:w="5497" w:type="dxa"/>
            <w:tcBorders/>
            <w:shd w:fill="CCEEFF" w:val="clear"/>
            <w:vAlign w:val="center"/>
          </w:tcPr>
          <w:p>
            <w:pPr>
              <w:pStyle w:val="TableContents"/>
              <w:bidi w:val="0"/>
              <w:spacing w:before="0" w:after="283"/>
              <w:jc w:val="left"/>
              <w:rPr/>
            </w:pPr>
            <w:r>
              <w:rPr/>
              <w:t>Other income, net</w:t>
            </w:r>
          </w:p>
        </w:tc>
        <w:tc>
          <w:tcPr>
            <w:tcW w:w="60"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CCEEFF" w:val="clear"/>
            <w:tcMar>
              <w:bottom w:w="28" w:type="dxa"/>
            </w:tcMar>
            <w:vAlign w:val="center"/>
          </w:tcPr>
          <w:p>
            <w:pPr>
              <w:pStyle w:val="TableContents"/>
              <w:bidi w:val="0"/>
              <w:spacing w:before="0" w:after="283"/>
              <w:jc w:val="right"/>
              <w:rPr/>
            </w:pPr>
            <w:r>
              <w:rPr/>
              <w:t>21</w:t>
            </w:r>
          </w:p>
        </w:tc>
        <w:tc>
          <w:tcPr>
            <w:tcW w:w="157"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3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28" w:type="dxa"/>
            <w:tcBorders>
              <w:bottom w:val="single" w:sz="8" w:space="0" w:color="000000"/>
            </w:tcBorders>
            <w:shd w:fill="CCEEFF" w:val="clear"/>
            <w:tcMar>
              <w:bottom w:w="28" w:type="dxa"/>
            </w:tcMar>
            <w:vAlign w:val="center"/>
          </w:tcPr>
          <w:p>
            <w:pPr>
              <w:pStyle w:val="TableContents"/>
              <w:bidi w:val="0"/>
              <w:spacing w:before="0" w:after="283"/>
              <w:jc w:val="right"/>
              <w:rPr/>
            </w:pPr>
            <w:r>
              <w:rPr/>
              <w:t>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49" w:type="dxa"/>
            <w:tcBorders>
              <w:bottom w:val="single" w:sz="8" w:space="0" w:color="000000"/>
            </w:tcBorders>
            <w:shd w:fill="CCEEFF" w:val="clear"/>
            <w:tcMar>
              <w:bottom w:w="28" w:type="dxa"/>
            </w:tcMar>
            <w:vAlign w:val="center"/>
          </w:tcPr>
          <w:p>
            <w:pPr>
              <w:pStyle w:val="TableContents"/>
              <w:bidi w:val="0"/>
              <w:spacing w:before="0" w:after="283"/>
              <w:jc w:val="right"/>
              <w:rPr/>
            </w:pPr>
            <w:r>
              <w:rPr/>
              <w:t>320</w:t>
            </w:r>
          </w:p>
        </w:tc>
        <w:tc>
          <w:tcPr>
            <w:tcW w:w="113" w:type="dxa"/>
            <w:tcBorders/>
            <w:shd w:fill="CCEEFF" w:val="clear"/>
            <w:vAlign w:val="center"/>
          </w:tcPr>
          <w:p>
            <w:pPr>
              <w:pStyle w:val="TableContents"/>
              <w:bidi w:val="0"/>
              <w:spacing w:before="0" w:after="283"/>
              <w:ind w:left="0" w:right="0" w:hanging="200"/>
              <w:jc w:val="left"/>
              <w:rPr/>
            </w:pPr>
            <w:r>
              <w:rPr/>
              <w:t> </w:t>
            </w:r>
          </w:p>
        </w:tc>
      </w:tr>
      <w:tr>
        <w:trPr/>
        <w:tc>
          <w:tcPr>
            <w:tcW w:w="5497"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3" w:type="dxa"/>
            <w:tcBorders>
              <w:bottom w:val="single" w:sz="8" w:space="0" w:color="000000"/>
            </w:tcBorders>
            <w:shd w:fill="FFFFFF" w:val="clear"/>
            <w:tcMar>
              <w:bottom w:w="28" w:type="dxa"/>
            </w:tcMar>
            <w:vAlign w:val="center"/>
          </w:tcPr>
          <w:p>
            <w:pPr>
              <w:pStyle w:val="TableContents"/>
              <w:bidi w:val="0"/>
              <w:spacing w:before="0" w:after="283"/>
              <w:jc w:val="right"/>
              <w:rPr/>
            </w:pPr>
            <w:r>
              <w:rPr/>
              <w:t>(208</w:t>
            </w:r>
          </w:p>
        </w:tc>
        <w:tc>
          <w:tcPr>
            <w:tcW w:w="157" w:type="dxa"/>
            <w:tcBorders/>
            <w:shd w:fill="FFFFFF" w:val="clear"/>
            <w:vAlign w:val="center"/>
          </w:tcPr>
          <w:p>
            <w:pPr>
              <w:pStyle w:val="TableContents"/>
              <w:bidi w:val="0"/>
              <w:spacing w:before="0" w:after="283"/>
              <w:jc w:val="left"/>
              <w:rPr/>
            </w:pPr>
            <w:r>
              <w:rPr/>
              <w:t>)</w:t>
            </w:r>
          </w:p>
        </w:tc>
        <w:tc>
          <w:tcPr>
            <w:tcW w:w="99" w:type="dxa"/>
            <w:tcBorders/>
            <w:shd w:fill="FFFFFF" w:val="clear"/>
            <w:vAlign w:val="center"/>
          </w:tcPr>
          <w:p>
            <w:pPr>
              <w:pStyle w:val="TableContents"/>
              <w:bidi w:val="0"/>
              <w:spacing w:before="0" w:after="283"/>
              <w:jc w:val="left"/>
              <w:rPr/>
            </w:pPr>
            <w:r>
              <w:rPr/>
              <w:t> </w:t>
            </w:r>
          </w:p>
        </w:tc>
        <w:tc>
          <w:tcPr>
            <w:tcW w:w="23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28" w:type="dxa"/>
            <w:tcBorders>
              <w:bottom w:val="single" w:sz="8" w:space="0" w:color="000000"/>
            </w:tcBorders>
            <w:shd w:fill="FFFFFF" w:val="clear"/>
            <w:tcMar>
              <w:bottom w:w="28" w:type="dxa"/>
            </w:tcMar>
            <w:vAlign w:val="center"/>
          </w:tcPr>
          <w:p>
            <w:pPr>
              <w:pStyle w:val="TableContents"/>
              <w:bidi w:val="0"/>
              <w:spacing w:before="0" w:after="283"/>
              <w:jc w:val="right"/>
              <w:rPr/>
            </w:pPr>
            <w:r>
              <w:rPr/>
              <w:t>3,284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(3,492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49" w:type="dxa"/>
            <w:tcBorders>
              <w:bottom w:val="single" w:sz="8" w:space="0" w:color="000000"/>
            </w:tcBorders>
            <w:shd w:fill="FFFFFF" w:val="clear"/>
            <w:tcMar>
              <w:bottom w:w="28" w:type="dxa"/>
            </w:tcMar>
            <w:vAlign w:val="center"/>
          </w:tcPr>
          <w:p>
            <w:pPr>
              <w:pStyle w:val="TableContents"/>
              <w:bidi w:val="0"/>
              <w:spacing w:before="0" w:after="283"/>
              <w:jc w:val="right"/>
              <w:rPr/>
            </w:pPr>
            <w:r>
              <w:rPr/>
              <w:t>(106</w:t>
            </w:r>
          </w:p>
        </w:tc>
        <w:tc>
          <w:tcPr>
            <w:tcW w:w="113" w:type="dxa"/>
            <w:tcBorders/>
            <w:shd w:fill="FFFFFF" w:val="clear"/>
            <w:vAlign w:val="center"/>
          </w:tcPr>
          <w:p>
            <w:pPr>
              <w:pStyle w:val="TableContents"/>
              <w:bidi w:val="0"/>
              <w:spacing w:before="0" w:after="283"/>
              <w:jc w:val="left"/>
              <w:rPr/>
            </w:pPr>
            <w:r>
              <w:rPr/>
              <w:t>)</w:t>
            </w:r>
          </w:p>
        </w:tc>
      </w:tr>
      <w:tr>
        <w:trPr/>
        <w:tc>
          <w:tcPr>
            <w:tcW w:w="5497"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3" w:type="dxa"/>
            <w:tcBorders>
              <w:bottom w:val="double" w:sz="6" w:space="0" w:color="000000"/>
            </w:tcBorders>
            <w:shd w:fill="CCEEFF" w:val="clear"/>
            <w:tcMar>
              <w:bottom w:w="28" w:type="dxa"/>
            </w:tcMar>
            <w:vAlign w:val="center"/>
          </w:tcPr>
          <w:p>
            <w:pPr>
              <w:pStyle w:val="TableContents"/>
              <w:bidi w:val="0"/>
              <w:spacing w:before="0" w:after="283"/>
              <w:jc w:val="right"/>
              <w:rPr/>
            </w:pPr>
            <w:r>
              <w:rPr/>
              <w:t>(1,835</w:t>
            </w:r>
          </w:p>
        </w:tc>
        <w:tc>
          <w:tcPr>
            <w:tcW w:w="157" w:type="dxa"/>
            <w:tcBorders/>
            <w:shd w:fill="CCEEFF" w:val="clear"/>
            <w:vAlign w:val="center"/>
          </w:tcPr>
          <w:p>
            <w:pPr>
              <w:pStyle w:val="TableContents"/>
              <w:bidi w:val="0"/>
              <w:spacing w:before="0" w:after="283"/>
              <w:jc w:val="left"/>
              <w:rPr/>
            </w:pPr>
            <w:r>
              <w:rPr/>
              <w:t>)</w:t>
            </w:r>
          </w:p>
        </w:tc>
        <w:tc>
          <w:tcPr>
            <w:tcW w:w="99" w:type="dxa"/>
            <w:tcBorders/>
            <w:shd w:fill="CCEEFF" w:val="clear"/>
            <w:vAlign w:val="center"/>
          </w:tcPr>
          <w:p>
            <w:pPr>
              <w:pStyle w:val="TableContents"/>
              <w:bidi w:val="0"/>
              <w:spacing w:before="0" w:after="283"/>
              <w:jc w:val="left"/>
              <w:rPr/>
            </w:pPr>
            <w:r>
              <w:rPr/>
              <w:t> </w:t>
            </w:r>
          </w:p>
        </w:tc>
        <w:tc>
          <w:tcPr>
            <w:tcW w:w="23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28" w:type="dxa"/>
            <w:tcBorders>
              <w:bottom w:val="double" w:sz="6" w:space="0" w:color="000000"/>
            </w:tcBorders>
            <w:shd w:fill="CCEEFF" w:val="clear"/>
            <w:tcMar>
              <w:bottom w:w="28" w:type="dxa"/>
            </w:tcMar>
            <w:vAlign w:val="center"/>
          </w:tcPr>
          <w:p>
            <w:pPr>
              <w:pStyle w:val="TableContents"/>
              <w:bidi w:val="0"/>
              <w:spacing w:before="0" w:after="283"/>
              <w:jc w:val="right"/>
              <w:rPr/>
            </w:pPr>
            <w:r>
              <w:rPr/>
              <w:t>2,700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8" w:type="dxa"/>
            <w:tcBorders>
              <w:bottom w:val="double" w:sz="6" w:space="0" w:color="000000"/>
            </w:tcBorders>
            <w:shd w:fill="CCEEFF" w:val="clear"/>
            <w:tcMar>
              <w:bottom w:w="28" w:type="dxa"/>
            </w:tcMar>
            <w:vAlign w:val="center"/>
          </w:tcPr>
          <w:p>
            <w:pPr>
              <w:pStyle w:val="TableContents"/>
              <w:bidi w:val="0"/>
              <w:spacing w:before="0" w:after="283"/>
              <w:jc w:val="right"/>
              <w:rPr/>
            </w:pPr>
            <w:r>
              <w:rPr/>
              <w:t>(4,535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49" w:type="dxa"/>
            <w:tcBorders>
              <w:bottom w:val="double" w:sz="6" w:space="0" w:color="000000"/>
            </w:tcBorders>
            <w:shd w:fill="CCEEFF" w:val="clear"/>
            <w:tcMar>
              <w:bottom w:w="28" w:type="dxa"/>
            </w:tcMar>
            <w:vAlign w:val="center"/>
          </w:tcPr>
          <w:p>
            <w:pPr>
              <w:pStyle w:val="TableContents"/>
              <w:bidi w:val="0"/>
              <w:spacing w:before="0" w:after="283"/>
              <w:jc w:val="right"/>
              <w:rPr/>
            </w:pPr>
            <w:r>
              <w:rPr/>
              <w:t>(168)%</w:t>
            </w:r>
          </w:p>
        </w:tc>
        <w:tc>
          <w:tcPr>
            <w:tcW w:w="113"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 was $285 thousand for the three months ended June 30, 2026, as compared to $0 for the three months ended June 30, 2025. The increase reflects higher employee compensation costs, marketing expenses, and stock-based compensation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was $383 thousand for the three months ended June 30, 2026, as compared to $0 for the three months ended June 30, 2025. The increase reflects higher employee compensation costs, advisor fees, and 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$959 thousand for the three months ended June 30, 2026, compared to $584 thousand for the three months ended June 30, 2025. The increase of $375 thousand reflects an increase in stock-based compensation expenses and employee compensation. Current-quarter expenses mainly consisted of insurance, software costs, salaries and benefits, and legal and professional fees, including $142 thousand of legal expenses related to our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Other Expense, Net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Other expense, net was $208 thousand for the three months ended June 30, 2026, compared to other income, net of $3.3 million for the three months ended June 30, 2025. The $3.5 million negative variance was primarily driven by the prior year recording of a $2.4 million gain on extinguishment of Forward Purchase Agreement settlement liability and a $1.2 million gain on extinguishment of liabilities. These favorable items were partially offset by a $134 thousand loss on extinguishment of Senior Secured Note, and a $88 thousand increase in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Six Months Ended June 30, 2026 and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results of operations for the six months ended June 30, 2026 and 2025:</w:t>
      </w:r>
    </w:p>
    <w:p>
      <w:pPr>
        <w:pStyle w:val="TextBody"/>
        <w:bidi w:val="0"/>
        <w:spacing w:before="0" w:after="0"/>
        <w:ind w:left="0" w:right="0" w:firstLine="554"/>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654"/>
        <w:gridCol w:w="60"/>
        <w:gridCol w:w="207"/>
        <w:gridCol w:w="946"/>
        <w:gridCol w:w="141"/>
        <w:gridCol w:w="89"/>
        <w:gridCol w:w="207"/>
        <w:gridCol w:w="946"/>
        <w:gridCol w:w="95"/>
        <w:gridCol w:w="60"/>
        <w:gridCol w:w="147"/>
        <w:gridCol w:w="668"/>
        <w:gridCol w:w="95"/>
        <w:gridCol w:w="60"/>
        <w:gridCol w:w="60"/>
        <w:gridCol w:w="656"/>
        <w:gridCol w:w="114"/>
      </w:tblGrid>
      <w:tr>
        <w:trPr/>
        <w:tc>
          <w:tcPr>
            <w:tcW w:w="56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3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6" w:type="dxa"/>
            <w:gridSpan w:val="2"/>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left"/>
              <w:rPr/>
            </w:pPr>
            <w:r>
              <w:rPr/>
              <w:t> </w:t>
            </w:r>
          </w:p>
        </w:tc>
      </w:tr>
      <w:tr>
        <w:trPr/>
        <w:tc>
          <w:tcPr>
            <w:tcW w:w="56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41"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115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114" w:type="dxa"/>
            <w:tcBorders/>
            <w:vAlign w:val="center"/>
          </w:tcPr>
          <w:p>
            <w:pPr>
              <w:pStyle w:val="TableContents"/>
              <w:bidi w:val="0"/>
              <w:spacing w:before="0" w:after="283"/>
              <w:jc w:val="left"/>
              <w:rPr/>
            </w:pPr>
            <w:r>
              <w:rPr/>
              <w:t> </w:t>
            </w:r>
          </w:p>
        </w:tc>
      </w:tr>
      <w:tr>
        <w:trPr/>
        <w:tc>
          <w:tcPr>
            <w:tcW w:w="56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536" w:type="dxa"/>
            <w:gridSpan w:val="6"/>
            <w:tcBorders/>
            <w:vAlign w:val="center"/>
          </w:tcPr>
          <w:p>
            <w:pPr>
              <w:pStyle w:val="TableContents"/>
              <w:bidi w:val="0"/>
              <w:spacing w:before="0" w:after="283"/>
              <w:jc w:val="center"/>
              <w:rPr>
                <w:b/>
              </w:rPr>
            </w:pPr>
            <w:r>
              <w:rPr>
                <w:b/>
              </w:rPr>
              <w:t>(in thousands)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15"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6" w:type="dxa"/>
            <w:gridSpan w:val="2"/>
            <w:tcBorders/>
            <w:vAlign w:val="center"/>
          </w:tcPr>
          <w:p>
            <w:pPr>
              <w:pStyle w:val="TableContents"/>
              <w:bidi w:val="0"/>
              <w:spacing w:before="0" w:after="283"/>
              <w:jc w:val="center"/>
              <w:rPr/>
            </w:pPr>
            <w:r>
              <w:rPr/>
              <w:t> </w:t>
            </w:r>
          </w:p>
        </w:tc>
        <w:tc>
          <w:tcPr>
            <w:tcW w:w="114" w:type="dxa"/>
            <w:tcBorders/>
            <w:vAlign w:val="center"/>
          </w:tcPr>
          <w:p>
            <w:pPr>
              <w:pStyle w:val="TableContents"/>
              <w:bidi w:val="0"/>
              <w:spacing w:before="0" w:after="283"/>
              <w:jc w:val="left"/>
              <w:rPr/>
            </w:pPr>
            <w:r>
              <w:rPr/>
              <w:t> </w:t>
            </w:r>
          </w:p>
        </w:tc>
      </w:tr>
      <w:tr>
        <w:trPr/>
        <w:tc>
          <w:tcPr>
            <w:tcW w:w="5654" w:type="dxa"/>
            <w:tcBorders/>
            <w:shd w:fill="CCEEFF" w:val="clear"/>
            <w:vAlign w:val="center"/>
          </w:tcPr>
          <w:p>
            <w:pPr>
              <w:pStyle w:val="TableContents"/>
              <w:bidi w:val="0"/>
              <w:spacing w:before="0" w:after="283"/>
              <w:jc w:val="left"/>
              <w:rPr/>
            </w:pPr>
            <w:r>
              <w:rPr/>
              <w:t>Revenue</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w:t>
            </w:r>
          </w:p>
        </w:tc>
        <w:tc>
          <w:tcPr>
            <w:tcW w:w="94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w:t>
            </w:r>
          </w:p>
        </w:tc>
        <w:tc>
          <w:tcPr>
            <w:tcW w:w="6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w:t>
            </w:r>
            <w:r>
              <w:rPr/>
              <w:t>%</w:t>
            </w:r>
          </w:p>
        </w:tc>
        <w:tc>
          <w:tcPr>
            <w:tcW w:w="114" w:type="dxa"/>
            <w:tcBorders/>
            <w:shd w:fill="CCEEFF" w:val="clear"/>
            <w:vAlign w:val="center"/>
          </w:tcPr>
          <w:p>
            <w:pPr>
              <w:pStyle w:val="TableContents"/>
              <w:bidi w:val="0"/>
              <w:spacing w:before="0" w:after="283"/>
              <w:jc w:val="left"/>
              <w:rPr/>
            </w:pPr>
            <w:r>
              <w:rPr/>
              <w:t> </w:t>
            </w:r>
          </w:p>
        </w:tc>
      </w:tr>
      <w:tr>
        <w:trPr/>
        <w:tc>
          <w:tcPr>
            <w:tcW w:w="5654"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6"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654"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4" w:type="dxa"/>
            <w:tcBorders/>
            <w:shd w:fill="CCEEFF" w:val="clear"/>
            <w:vAlign w:val="center"/>
          </w:tcPr>
          <w:p>
            <w:pPr>
              <w:pStyle w:val="TableContents"/>
              <w:bidi w:val="0"/>
              <w:spacing w:before="0" w:after="283"/>
              <w:jc w:val="left"/>
              <w:rPr/>
            </w:pPr>
            <w:r>
              <w:rPr/>
              <w:t> </w:t>
            </w:r>
          </w:p>
        </w:tc>
      </w:tr>
      <w:tr>
        <w:trPr/>
        <w:tc>
          <w:tcPr>
            <w:tcW w:w="5654"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654" w:type="dxa"/>
            <w:tcBorders/>
            <w:shd w:fill="CCEEFF" w:val="clear"/>
            <w:vAlign w:val="center"/>
          </w:tcPr>
          <w:p>
            <w:pPr>
              <w:pStyle w:val="TableContents"/>
              <w:bidi w:val="0"/>
              <w:spacing w:before="0" w:after="283"/>
              <w:jc w:val="left"/>
              <w:rPr/>
            </w:pPr>
            <w:r>
              <w:rPr/>
              <w:t>Sales and marketing</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458</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sz w:val="20"/>
              </w:rPr>
            </w:pPr>
            <w:r>
              <w:rPr>
                <w:sz w:val="20"/>
              </w:rPr>
              <w:t>N/M</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654" w:type="dxa"/>
            <w:tcBorders/>
            <w:shd w:fill="FFFFFF" w:val="clear"/>
            <w:vAlign w:val="center"/>
          </w:tcPr>
          <w:p>
            <w:pPr>
              <w:pStyle w:val="TableContents"/>
              <w:bidi w:val="0"/>
              <w:spacing w:before="0" w:after="283"/>
              <w:jc w:val="left"/>
              <w:rPr/>
            </w:pPr>
            <w:r>
              <w:rPr/>
              <w:t>Research and development</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618</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618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sz w:val="20"/>
              </w:rPr>
            </w:pPr>
            <w:r>
              <w:rPr>
                <w:sz w:val="20"/>
              </w:rPr>
              <w:t>N/M</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654"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1,748</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1,264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484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6" w:type="dxa"/>
            <w:tcBorders>
              <w:bottom w:val="single" w:sz="8" w:space="0" w:color="000000"/>
            </w:tcBorders>
            <w:shd w:fill="CCEEFF" w:val="clear"/>
            <w:tcMar>
              <w:bottom w:w="28" w:type="dxa"/>
            </w:tcMar>
            <w:vAlign w:val="center"/>
          </w:tcPr>
          <w:p>
            <w:pPr>
              <w:pStyle w:val="TableContents"/>
              <w:bidi w:val="0"/>
              <w:spacing w:before="0" w:after="283"/>
              <w:jc w:val="right"/>
              <w:rPr/>
            </w:pPr>
            <w:r>
              <w:rPr/>
              <w:t>38</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654" w:type="dxa"/>
            <w:tcBorders/>
            <w:shd w:fill="FFFFFF" w:val="clear"/>
            <w:vAlign w:val="center"/>
          </w:tcPr>
          <w:p>
            <w:pPr>
              <w:pStyle w:val="TableContents"/>
              <w:bidi w:val="0"/>
              <w:spacing w:before="0" w:after="283"/>
              <w:jc w:val="left"/>
              <w:rPr/>
            </w:pPr>
            <w:r>
              <w:rPr/>
              <w:t>Total operating expenses</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pPr>
            <w:r>
              <w:rPr/>
              <w:t>2,824</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pPr>
            <w:r>
              <w:rPr/>
              <w:t>1,264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1,560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6" w:type="dxa"/>
            <w:tcBorders>
              <w:bottom w:val="single" w:sz="8" w:space="0" w:color="000000"/>
            </w:tcBorders>
            <w:shd w:fill="FFFFFF" w:val="clear"/>
            <w:tcMar>
              <w:bottom w:w="28" w:type="dxa"/>
            </w:tcMar>
            <w:vAlign w:val="center"/>
          </w:tcPr>
          <w:p>
            <w:pPr>
              <w:pStyle w:val="TableContents"/>
              <w:bidi w:val="0"/>
              <w:spacing w:before="0" w:after="283"/>
              <w:jc w:val="right"/>
              <w:rPr/>
            </w:pPr>
            <w:r>
              <w:rPr/>
              <w:t>123</w:t>
            </w:r>
          </w:p>
        </w:tc>
        <w:tc>
          <w:tcPr>
            <w:tcW w:w="114" w:type="dxa"/>
            <w:tcBorders/>
            <w:shd w:fill="FFFFFF" w:val="clear"/>
            <w:vAlign w:val="center"/>
          </w:tcPr>
          <w:p>
            <w:pPr>
              <w:pStyle w:val="TableContents"/>
              <w:bidi w:val="0"/>
              <w:spacing w:before="0" w:after="283"/>
              <w:jc w:val="left"/>
              <w:rPr/>
            </w:pPr>
            <w:r>
              <w:rPr/>
              <w:t> </w:t>
            </w:r>
          </w:p>
        </w:tc>
      </w:tr>
      <w:tr>
        <w:trPr/>
        <w:tc>
          <w:tcPr>
            <w:tcW w:w="5654"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(2,824</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(1,264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(1,560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6" w:type="dxa"/>
            <w:tcBorders>
              <w:bottom w:val="single" w:sz="8" w:space="0" w:color="000000"/>
            </w:tcBorders>
            <w:shd w:fill="CCEEFF" w:val="clear"/>
            <w:tcMar>
              <w:bottom w:w="28" w:type="dxa"/>
            </w:tcMar>
            <w:vAlign w:val="center"/>
          </w:tcPr>
          <w:p>
            <w:pPr>
              <w:pStyle w:val="TableContents"/>
              <w:bidi w:val="0"/>
              <w:spacing w:before="0" w:after="283"/>
              <w:jc w:val="right"/>
              <w:rPr/>
            </w:pPr>
            <w:r>
              <w:rPr/>
              <w:t>(123</w:t>
            </w:r>
          </w:p>
        </w:tc>
        <w:tc>
          <w:tcPr>
            <w:tcW w:w="114" w:type="dxa"/>
            <w:tcBorders/>
            <w:shd w:fill="CCEEFF" w:val="clear"/>
            <w:vAlign w:val="center"/>
          </w:tcPr>
          <w:p>
            <w:pPr>
              <w:pStyle w:val="TableContents"/>
              <w:bidi w:val="0"/>
              <w:spacing w:before="0" w:after="283"/>
              <w:jc w:val="left"/>
              <w:rPr/>
            </w:pPr>
            <w:r>
              <w:rPr/>
              <w:t>)</w:t>
            </w:r>
          </w:p>
        </w:tc>
      </w:tr>
      <w:tr>
        <w:trPr/>
        <w:tc>
          <w:tcPr>
            <w:tcW w:w="5654" w:type="dxa"/>
            <w:tcBorders/>
            <w:shd w:fill="FFFFFF" w:val="clear"/>
            <w:vAlign w:val="center"/>
          </w:tcPr>
          <w:p>
            <w:pPr>
              <w:pStyle w:val="TableContents"/>
              <w:bidi w:val="0"/>
              <w:spacing w:before="0" w:after="283"/>
              <w:jc w:val="left"/>
              <w:rPr/>
            </w:pPr>
            <w:r>
              <w:rPr/>
              <w:t>Other income (expense):</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 </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 </w:t>
            </w:r>
          </w:p>
        </w:tc>
        <w:tc>
          <w:tcPr>
            <w:tcW w:w="114" w:type="dxa"/>
            <w:tcBorders/>
            <w:shd w:fill="FFFFFF" w:val="clear"/>
            <w:vAlign w:val="center"/>
          </w:tcPr>
          <w:p>
            <w:pPr>
              <w:pStyle w:val="TableContents"/>
              <w:bidi w:val="0"/>
              <w:spacing w:before="0" w:after="283"/>
              <w:ind w:left="0" w:right="0" w:hanging="200"/>
              <w:jc w:val="left"/>
              <w:rPr/>
            </w:pPr>
            <w:r>
              <w:rPr/>
              <w:t> </w:t>
            </w:r>
          </w:p>
        </w:tc>
      </w:tr>
      <w:tr>
        <w:trPr/>
        <w:tc>
          <w:tcPr>
            <w:tcW w:w="5654"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(361</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(243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(118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49</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654" w:type="dxa"/>
            <w:tcBorders/>
            <w:shd w:fill="FFFFFF" w:val="clear"/>
            <w:vAlign w:val="center"/>
          </w:tcPr>
          <w:p>
            <w:pPr>
              <w:pStyle w:val="TableContents"/>
              <w:bidi w:val="0"/>
              <w:spacing w:before="0" w:after="283"/>
              <w:jc w:val="left"/>
              <w:rPr/>
            </w:pPr>
            <w:r>
              <w:rPr/>
              <w:t>Loss on extinguishment of senior secured note</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(134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134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(100</w:t>
            </w:r>
          </w:p>
        </w:tc>
        <w:tc>
          <w:tcPr>
            <w:tcW w:w="114" w:type="dxa"/>
            <w:tcBorders/>
            <w:shd w:fill="FFFFFF" w:val="clear"/>
            <w:vAlign w:val="center"/>
          </w:tcPr>
          <w:p>
            <w:pPr>
              <w:pStyle w:val="TableContents"/>
              <w:bidi w:val="0"/>
              <w:spacing w:before="0" w:after="283"/>
              <w:ind w:left="0" w:right="0" w:hanging="200"/>
              <w:jc w:val="left"/>
              <w:rPr/>
            </w:pPr>
            <w:r>
              <w:rPr/>
              <w:t>)</w:t>
            </w:r>
          </w:p>
        </w:tc>
      </w:tr>
      <w:tr>
        <w:trPr/>
        <w:tc>
          <w:tcPr>
            <w:tcW w:w="5654" w:type="dxa"/>
            <w:tcBorders/>
            <w:shd w:fill="CCEEFF" w:val="clear"/>
            <w:vAlign w:val="center"/>
          </w:tcPr>
          <w:p>
            <w:pPr>
              <w:pStyle w:val="TableContents"/>
              <w:bidi w:val="0"/>
              <w:spacing w:before="0" w:after="283"/>
              <w:jc w:val="left"/>
              <w:rPr/>
            </w:pPr>
            <w:r>
              <w:rPr/>
              <w:t>Gain on extinguishment of forward purchase agreement settlement liability</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jc w:val="left"/>
              <w:rPr/>
            </w:pPr>
            <w:r>
              <w:rPr/>
              <w:t> </w:t>
            </w:r>
          </w:p>
        </w:tc>
        <w:tc>
          <w:tcPr>
            <w:tcW w:w="946" w:type="dxa"/>
            <w:tcBorders/>
            <w:shd w:fill="CCEEFF" w:val="clear"/>
            <w:vAlign w:val="center"/>
          </w:tcPr>
          <w:p>
            <w:pPr>
              <w:pStyle w:val="TableContents"/>
              <w:bidi w:val="0"/>
              <w:spacing w:before="0" w:after="283"/>
              <w:jc w:val="right"/>
              <w:rPr/>
            </w:pPr>
            <w:r>
              <w:rPr/>
              <w:t>2,357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668" w:type="dxa"/>
            <w:tcBorders/>
            <w:shd w:fill="CCEEFF" w:val="clear"/>
            <w:vAlign w:val="center"/>
          </w:tcPr>
          <w:p>
            <w:pPr>
              <w:pStyle w:val="TableContents"/>
              <w:bidi w:val="0"/>
              <w:spacing w:before="0" w:after="283"/>
              <w:jc w:val="right"/>
              <w:rPr/>
            </w:pPr>
            <w:r>
              <w:rPr/>
              <w:t>(2,357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6" w:type="dxa"/>
            <w:tcBorders/>
            <w:shd w:fill="CCEEFF" w:val="clear"/>
            <w:vAlign w:val="center"/>
          </w:tcPr>
          <w:p>
            <w:pPr>
              <w:pStyle w:val="TableContents"/>
              <w:bidi w:val="0"/>
              <w:spacing w:before="0" w:after="283"/>
              <w:jc w:val="right"/>
              <w:rPr/>
            </w:pPr>
            <w:r>
              <w:rPr/>
              <w:t>(100</w:t>
            </w:r>
          </w:p>
        </w:tc>
        <w:tc>
          <w:tcPr>
            <w:tcW w:w="114" w:type="dxa"/>
            <w:tcBorders/>
            <w:shd w:fill="CCEEFF" w:val="clear"/>
            <w:vAlign w:val="center"/>
          </w:tcPr>
          <w:p>
            <w:pPr>
              <w:pStyle w:val="TableContents"/>
              <w:bidi w:val="0"/>
              <w:spacing w:before="0" w:after="283"/>
              <w:ind w:left="0" w:right="0" w:hanging="200"/>
              <w:jc w:val="left"/>
              <w:rPr/>
            </w:pPr>
            <w:r>
              <w:rPr/>
              <w:t>)</w:t>
            </w:r>
          </w:p>
        </w:tc>
      </w:tr>
      <w:tr>
        <w:trPr/>
        <w:tc>
          <w:tcPr>
            <w:tcW w:w="5654" w:type="dxa"/>
            <w:tcBorders/>
            <w:shd w:fill="FFFFFF" w:val="clear"/>
            <w:vAlign w:val="center"/>
          </w:tcPr>
          <w:p>
            <w:pPr>
              <w:pStyle w:val="TableContents"/>
              <w:bidi w:val="0"/>
              <w:spacing w:before="0" w:after="283"/>
              <w:jc w:val="left"/>
              <w:rPr/>
            </w:pPr>
            <w:r>
              <w:rPr/>
              <w:t>Gain on extinguishment of liabilities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w:t>
            </w:r>
          </w:p>
        </w:tc>
        <w:tc>
          <w:tcPr>
            <w:tcW w:w="141"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jc w:val="left"/>
              <w:rPr/>
            </w:pPr>
            <w:r>
              <w:rPr/>
              <w:t> </w:t>
            </w:r>
          </w:p>
        </w:tc>
        <w:tc>
          <w:tcPr>
            <w:tcW w:w="946" w:type="dxa"/>
            <w:tcBorders/>
            <w:shd w:fill="FFFFFF" w:val="clear"/>
            <w:vAlign w:val="center"/>
          </w:tcPr>
          <w:p>
            <w:pPr>
              <w:pStyle w:val="TableContents"/>
              <w:bidi w:val="0"/>
              <w:spacing w:before="0" w:after="283"/>
              <w:jc w:val="right"/>
              <w:rPr/>
            </w:pPr>
            <w:r>
              <w:rPr/>
              <w:t>1,197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668" w:type="dxa"/>
            <w:tcBorders/>
            <w:shd w:fill="FFFFFF" w:val="clear"/>
            <w:vAlign w:val="center"/>
          </w:tcPr>
          <w:p>
            <w:pPr>
              <w:pStyle w:val="TableContents"/>
              <w:bidi w:val="0"/>
              <w:spacing w:before="0" w:after="283"/>
              <w:jc w:val="right"/>
              <w:rPr/>
            </w:pPr>
            <w:r>
              <w:rPr/>
              <w:t>(1,197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6" w:type="dxa"/>
            <w:tcBorders/>
            <w:shd w:fill="FFFFFF" w:val="clear"/>
            <w:vAlign w:val="center"/>
          </w:tcPr>
          <w:p>
            <w:pPr>
              <w:pStyle w:val="TableContents"/>
              <w:bidi w:val="0"/>
              <w:spacing w:before="0" w:after="283"/>
              <w:jc w:val="right"/>
              <w:rPr/>
            </w:pPr>
            <w:r>
              <w:rPr/>
              <w:t>(100</w:t>
            </w:r>
          </w:p>
        </w:tc>
        <w:tc>
          <w:tcPr>
            <w:tcW w:w="114" w:type="dxa"/>
            <w:tcBorders/>
            <w:shd w:fill="FFFFFF" w:val="clear"/>
            <w:vAlign w:val="center"/>
          </w:tcPr>
          <w:p>
            <w:pPr>
              <w:pStyle w:val="TableContents"/>
              <w:bidi w:val="0"/>
              <w:spacing w:before="0" w:after="283"/>
              <w:ind w:left="0" w:right="0" w:hanging="200"/>
              <w:jc w:val="left"/>
              <w:rPr/>
            </w:pPr>
            <w:r>
              <w:rPr/>
              <w:t>)</w:t>
            </w:r>
          </w:p>
        </w:tc>
      </w:tr>
      <w:tr>
        <w:trPr/>
        <w:tc>
          <w:tcPr>
            <w:tcW w:w="5654" w:type="dxa"/>
            <w:tcBorders/>
            <w:shd w:fill="CCEEFF" w:val="clear"/>
            <w:vAlign w:val="center"/>
          </w:tcPr>
          <w:p>
            <w:pPr>
              <w:pStyle w:val="TableContents"/>
              <w:bidi w:val="0"/>
              <w:spacing w:before="0" w:after="283"/>
              <w:jc w:val="left"/>
              <w:rPr/>
            </w:pPr>
            <w:r>
              <w:rPr/>
              <w:t>Other income (expense), net</w:t>
            </w:r>
          </w:p>
        </w:tc>
        <w:tc>
          <w:tcPr>
            <w:tcW w:w="60"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40</w:t>
            </w:r>
          </w:p>
        </w:tc>
        <w:tc>
          <w:tcPr>
            <w:tcW w:w="141"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CCEEFF" w:val="clear"/>
            <w:tcMar>
              <w:bottom w:w="28" w:type="dxa"/>
            </w:tcMar>
            <w:vAlign w:val="center"/>
          </w:tcPr>
          <w:p>
            <w:pPr>
              <w:pStyle w:val="TableContents"/>
              <w:bidi w:val="0"/>
              <w:spacing w:before="0" w:after="283"/>
              <w:jc w:val="right"/>
              <w:rPr/>
            </w:pPr>
            <w:r>
              <w:rPr/>
              <w:t>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CCEEFF" w:val="clear"/>
            <w:tcMar>
              <w:bottom w:w="28" w:type="dxa"/>
            </w:tcMar>
            <w:vAlign w:val="center"/>
          </w:tcPr>
          <w:p>
            <w:pPr>
              <w:pStyle w:val="TableContents"/>
              <w:bidi w:val="0"/>
              <w:spacing w:before="0" w:after="283"/>
              <w:jc w:val="right"/>
              <w:rPr/>
            </w:pPr>
            <w:r>
              <w:rPr/>
              <w:t>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56" w:type="dxa"/>
            <w:tcBorders>
              <w:bottom w:val="single" w:sz="8" w:space="0" w:color="000000"/>
            </w:tcBorders>
            <w:shd w:fill="CCEEFF" w:val="clear"/>
            <w:tcMar>
              <w:bottom w:w="28" w:type="dxa"/>
            </w:tcMar>
            <w:vAlign w:val="center"/>
          </w:tcPr>
          <w:p>
            <w:pPr>
              <w:pStyle w:val="TableContents"/>
              <w:bidi w:val="0"/>
              <w:spacing w:before="0" w:after="283"/>
              <w:jc w:val="right"/>
              <w:rPr/>
            </w:pPr>
            <w:r>
              <w:rPr/>
              <w:t>135</w:t>
            </w:r>
          </w:p>
        </w:tc>
        <w:tc>
          <w:tcPr>
            <w:tcW w:w="114" w:type="dxa"/>
            <w:tcBorders/>
            <w:shd w:fill="CCEEFF" w:val="clear"/>
            <w:vAlign w:val="center"/>
          </w:tcPr>
          <w:p>
            <w:pPr>
              <w:pStyle w:val="TableContents"/>
              <w:bidi w:val="0"/>
              <w:spacing w:before="0" w:after="283"/>
              <w:ind w:left="0" w:right="0" w:hanging="200"/>
              <w:jc w:val="left"/>
              <w:rPr/>
            </w:pPr>
            <w:r>
              <w:rPr/>
              <w:t> </w:t>
            </w:r>
          </w:p>
        </w:tc>
      </w:tr>
      <w:tr>
        <w:trPr/>
        <w:tc>
          <w:tcPr>
            <w:tcW w:w="5654" w:type="dxa"/>
            <w:tcBorders/>
            <w:shd w:fill="FFFFFF" w:val="clear"/>
            <w:vAlign w:val="center"/>
          </w:tcPr>
          <w:p>
            <w:pPr>
              <w:pStyle w:val="TableContents"/>
              <w:bidi w:val="0"/>
              <w:spacing w:before="0" w:after="283"/>
              <w:jc w:val="left"/>
              <w:rPr/>
            </w:pPr>
            <w:r>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pPr>
            <w:r>
              <w:rPr/>
              <w:t>(321</w:t>
            </w:r>
          </w:p>
        </w:tc>
        <w:tc>
          <w:tcPr>
            <w:tcW w:w="141" w:type="dxa"/>
            <w:tcBorders/>
            <w:shd w:fill="FFFFFF" w:val="clear"/>
            <w:vAlign w:val="center"/>
          </w:tcPr>
          <w:p>
            <w:pPr>
              <w:pStyle w:val="TableContents"/>
              <w:bidi w:val="0"/>
              <w:spacing w:before="0" w:after="283"/>
              <w:jc w:val="left"/>
              <w:rPr/>
            </w:pPr>
            <w:r>
              <w:rPr/>
              <w:t>)</w:t>
            </w:r>
          </w:p>
        </w:tc>
        <w:tc>
          <w:tcPr>
            <w:tcW w:w="89" w:type="dxa"/>
            <w:tcBorders/>
            <w:shd w:fill="FFFFFF" w:val="clear"/>
            <w:vAlign w:val="center"/>
          </w:tcPr>
          <w:p>
            <w:pPr>
              <w:pStyle w:val="TableContents"/>
              <w:bidi w:val="0"/>
              <w:spacing w:before="0" w:after="283"/>
              <w:jc w:val="left"/>
              <w:rPr/>
            </w:pPr>
            <w:r>
              <w:rPr/>
              <w:t> </w:t>
            </w:r>
          </w:p>
        </w:tc>
        <w:tc>
          <w:tcPr>
            <w:tcW w:w="20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6" w:type="dxa"/>
            <w:tcBorders>
              <w:bottom w:val="single" w:sz="8" w:space="0" w:color="000000"/>
            </w:tcBorders>
            <w:shd w:fill="FFFFFF" w:val="clear"/>
            <w:tcMar>
              <w:bottom w:w="28" w:type="dxa"/>
            </w:tcMar>
            <w:vAlign w:val="center"/>
          </w:tcPr>
          <w:p>
            <w:pPr>
              <w:pStyle w:val="TableContents"/>
              <w:bidi w:val="0"/>
              <w:spacing w:before="0" w:after="283"/>
              <w:jc w:val="right"/>
              <w:rPr/>
            </w:pPr>
            <w:r>
              <w:rPr/>
              <w:t>3,194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68" w:type="dxa"/>
            <w:tcBorders>
              <w:bottom w:val="single" w:sz="8" w:space="0" w:color="000000"/>
            </w:tcBorders>
            <w:shd w:fill="FFFFFF" w:val="clear"/>
            <w:tcMar>
              <w:bottom w:w="28" w:type="dxa"/>
            </w:tcMar>
            <w:vAlign w:val="center"/>
          </w:tcPr>
          <w:p>
            <w:pPr>
              <w:pStyle w:val="TableContents"/>
              <w:bidi w:val="0"/>
              <w:spacing w:before="0" w:after="283"/>
              <w:jc w:val="right"/>
              <w:rPr/>
            </w:pPr>
            <w:r>
              <w:rPr/>
              <w:t>(3,515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56" w:type="dxa"/>
            <w:tcBorders>
              <w:bottom w:val="single" w:sz="8" w:space="0" w:color="000000"/>
            </w:tcBorders>
            <w:shd w:fill="FFFFFF" w:val="clear"/>
            <w:tcMar>
              <w:bottom w:w="28" w:type="dxa"/>
            </w:tcMar>
            <w:vAlign w:val="center"/>
          </w:tcPr>
          <w:p>
            <w:pPr>
              <w:pStyle w:val="TableContents"/>
              <w:bidi w:val="0"/>
              <w:spacing w:before="0" w:after="283"/>
              <w:jc w:val="right"/>
              <w:rPr/>
            </w:pPr>
            <w:r>
              <w:rPr/>
              <w:t>(110</w:t>
            </w:r>
          </w:p>
        </w:tc>
        <w:tc>
          <w:tcPr>
            <w:tcW w:w="114" w:type="dxa"/>
            <w:tcBorders/>
            <w:shd w:fill="FFFFFF" w:val="clear"/>
            <w:vAlign w:val="center"/>
          </w:tcPr>
          <w:p>
            <w:pPr>
              <w:pStyle w:val="TableContents"/>
              <w:bidi w:val="0"/>
              <w:spacing w:before="0" w:after="283"/>
              <w:jc w:val="left"/>
              <w:rPr/>
            </w:pPr>
            <w:r>
              <w:rPr/>
              <w:t>)</w:t>
            </w:r>
          </w:p>
        </w:tc>
      </w:tr>
      <w:tr>
        <w:trPr/>
        <w:tc>
          <w:tcPr>
            <w:tcW w:w="5654" w:type="dxa"/>
            <w:tcBorders/>
            <w:shd w:fill="CCEEFF" w:val="clear"/>
            <w:vAlign w:val="center"/>
          </w:tcPr>
          <w:p>
            <w:pPr>
              <w:pStyle w:val="TableContents"/>
              <w:bidi w:val="0"/>
              <w:spacing w:before="0" w:after="283"/>
              <w:jc w:val="left"/>
              <w:rPr/>
            </w:pPr>
            <w:r>
              <w:rPr/>
              <w:t>Net income (loss)</w:t>
            </w:r>
          </w:p>
        </w:tc>
        <w:tc>
          <w:tcPr>
            <w:tcW w:w="60" w:type="dxa"/>
            <w:tcBorders/>
            <w:shd w:fill="CCEEFF" w:val="clear"/>
            <w:vAlign w:val="center"/>
          </w:tcPr>
          <w:p>
            <w:pPr>
              <w:pStyle w:val="TableContents"/>
              <w:bidi w:val="0"/>
              <w:spacing w:before="0" w:after="283"/>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jc w:val="right"/>
              <w:rPr/>
            </w:pPr>
            <w:r>
              <w:rPr/>
              <w:t>(3,145</w:t>
            </w:r>
          </w:p>
        </w:tc>
        <w:tc>
          <w:tcPr>
            <w:tcW w:w="141" w:type="dxa"/>
            <w:tcBorders/>
            <w:shd w:fill="CCEEFF" w:val="clear"/>
            <w:vAlign w:val="center"/>
          </w:tcPr>
          <w:p>
            <w:pPr>
              <w:pStyle w:val="TableContents"/>
              <w:bidi w:val="0"/>
              <w:spacing w:before="0" w:after="283"/>
              <w:jc w:val="left"/>
              <w:rPr/>
            </w:pPr>
            <w:r>
              <w:rPr/>
              <w:t>)</w:t>
            </w:r>
          </w:p>
        </w:tc>
        <w:tc>
          <w:tcPr>
            <w:tcW w:w="89" w:type="dxa"/>
            <w:tcBorders/>
            <w:shd w:fill="CCEEFF" w:val="clear"/>
            <w:vAlign w:val="center"/>
          </w:tcPr>
          <w:p>
            <w:pPr>
              <w:pStyle w:val="TableContents"/>
              <w:bidi w:val="0"/>
              <w:spacing w:before="0" w:after="283"/>
              <w:jc w:val="left"/>
              <w:rPr/>
            </w:pPr>
            <w:r>
              <w:rPr/>
              <w:t> </w:t>
            </w:r>
          </w:p>
        </w:tc>
        <w:tc>
          <w:tcPr>
            <w:tcW w:w="20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283"/>
              <w:jc w:val="right"/>
              <w:rPr/>
            </w:pPr>
            <w:r>
              <w:rPr/>
              <w:t>1,930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68" w:type="dxa"/>
            <w:tcBorders>
              <w:bottom w:val="double" w:sz="6" w:space="0" w:color="000000"/>
            </w:tcBorders>
            <w:shd w:fill="CCEEFF" w:val="clear"/>
            <w:tcMar>
              <w:bottom w:w="28" w:type="dxa"/>
            </w:tcMar>
            <w:vAlign w:val="center"/>
          </w:tcPr>
          <w:p>
            <w:pPr>
              <w:pStyle w:val="TableContents"/>
              <w:bidi w:val="0"/>
              <w:spacing w:before="0" w:after="283"/>
              <w:jc w:val="right"/>
              <w:rPr/>
            </w:pPr>
            <w:r>
              <w:rPr/>
              <w:t>(5,075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56" w:type="dxa"/>
            <w:tcBorders>
              <w:bottom w:val="double" w:sz="6" w:space="0" w:color="000000"/>
            </w:tcBorders>
            <w:shd w:fill="CCEEFF" w:val="clear"/>
            <w:tcMar>
              <w:bottom w:w="28" w:type="dxa"/>
            </w:tcMar>
            <w:vAlign w:val="center"/>
          </w:tcPr>
          <w:p>
            <w:pPr>
              <w:pStyle w:val="TableContents"/>
              <w:bidi w:val="0"/>
              <w:spacing w:before="0" w:after="283"/>
              <w:jc w:val="right"/>
              <w:rPr/>
            </w:pPr>
            <w:r>
              <w:rPr/>
              <w:t>(263)%</w:t>
            </w:r>
          </w:p>
        </w:tc>
        <w:tc>
          <w:tcPr>
            <w:tcW w:w="11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Sales and Marketing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 was $458 thousand for the six months ended June 30, 2026, as compared to $0 for the six months ended June 30, 2025. The increase reflects an increase in employee compensation costs, marketing expenses, and stock-based compensation expense.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 was $618 thousand for the six months ended June 30, 2026, as compared to $0 for the six months ended June 30, 2025. The increase reflects an increase in employee compensation costs, advisor fees, and stock-based compensation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 and Administrative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were $1.8 million for the six months ended June 30, 2026, compared to $1.3 million for the six months ended June 30, 2025. The increase of $484 thousand reflects an increase in stock-based compensation expenses and employee compensation. Current-quarter expenses mainly consisted of insurance, software costs, salaries and benefits, and legal and professional fees, including $268 thousand of legal expenses related to our intellectual property.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Expense, Net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Other expense, net was $321 thousand for the six months ended June 30, 2026, compared to other income, net of $3.2 million for the six months ended June 30, 2025. The $3.5 million negative variance was primarily driven by the prior year recording of a $2.4 million gain on extinguishment of Forward Purchase Agreement settlement liability and a $1.2 million gain on extinguishment of liabilities. These favorable items were partially offset by a $134 thousand loss on extinguishment of Senior Secured Note, and a $118 thousand increase in interest expense.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we have financed our operations primarily with proceeds from sales of Convertible Preferred Stock and Common Stock and the issuance of Convertible Notes. For the six months ended June 30, 2026, we recorded a net loss of $3,145, used cash in operations of $2,688 and had a stockholders’ equity of $3,062 as of that date. As of June 30, 2026, we had a cash balance of $12,771. Cash used in operations was primarily from the Company’s operating losses, working capital, and investment in strategic growth initiatives. We have incurred significant losses and negative cash flows from operations since inception and expect to continue to incur losses and negative cash flows for the foreseeable future as we expand our penetration of the quantum computing application development market.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April 2026, we sold and issued to accredited investors a total of 15,000 shares of Series D (which are convertible into 34,160,784 shares of Common Stock, subject to adjustment) and Warrants to purchase up to 17,080,392 shares of Common Stock (representing 50% warrant coverage on an as-converted basis) for total gross proceeds of $15 million. We received net proceeds of $13.8 million after deducting commissions and fees.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As of August 4, 2026, we have cash and cash equivalents of $12.1 million. We expect our existing cash will be sufficient to fund our current operating plan for at least twelve months from the date of issuance of these financial statements.</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Senior Secured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Secured Notes bear interest at the compound rate of 15% per annum and are convertible at the option of each noteholder in connection with the Merger at a conversion price of (i) $4.50 per share at the closing of the Merger or (ii) $8.50 per share at any time after the closing of the Merger. The outstanding principal amount of the Senior Secured Notes and all accrued but unpaid interest will be due and payable at the maturity date, December 15, 2026, unless otherwise converted. Upon the closing of the Merger, a portion of the aggregate outstanding Senior Secured Notes with an aggregate principal amount of $14.2 million and associated accrued interest of $0.5 million were converted into shares of our Common Stock. While any Senior Secured Notes are outstanding, we cannot incur additional indebtedness for borrowed funds, except additional Senior Secured Notes, substantially similar notes or other debt instruments that are pari passu with or subordinate to the Senior Secured Notes. As of June 30, 2026, the aggregate principal and accrued interest outstanding under the Senior Secured Notes totaled $1.4 million.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Convertible Promissory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2025, we entered into a securities purchase agreement with accredited investors pursuant to which we sold and issued secured Convertible Promissory Notes and warrants to purchase 37,500,000 shares of Common Stock (“Warrants”) for total gross proceeds of $3 million. The Convertible Promissory Notes bear simple interest at a rate of 10.00% per annum and, as extended, mature in June 2027, unless earlier converted or repaid in accordance with its terms. Interest accrues daily based on a 360-day year and will not be paid in cash prior to maturity unless the Convertible Promissory Notes are repaid before conversion. As of June 30, 2026, the aggregate principal and accrued interest outstanding under the Convertible Promissory Notes totaled $3.1 million, net of the unamortized debt discount of $211 recognized in connection with the amendment and the remaining unamortized debt issuance costs.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June 1, 2026, the Company and the holders amended the Convertible Promissory Notes to extend the maturity date to June 2027 and replace the provision requiring automatic conversion upon the closing of a qualified financing. Under the amended terms, if (i) the volume-weighted average price of the Company’s common stock on the immediately preceding trading day equals or exceeds $0.60 per share and (ii) the average daily traded value of the Company’s common stock for the five immediately preceding trading days equals or exceeds $1.0 million, the Company may elect to convert all or any portion of the outstanding principal balance into shares of common stock at a conversion price of $0.04 per share, subject to customary adjustments for stock splits, stock dividends, combinations, recapitalizations and similar events. Any accrued and unpaid interest attributable to principal converted pursuant to the amended conversion provision is automatically forgiven upon conversion. If the Company elects to convert the entire $3.0 million outstanding principal balance, the Convertible Promissory Notes would convert into 75,000,000 shares of the Company’s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sources and uses of cash for each of the periods presented:</w:t>
      </w:r>
    </w:p>
    <w:p>
      <w:pPr>
        <w:pStyle w:val="TextBody"/>
        <w:bidi w:val="0"/>
        <w:spacing w:before="0" w:after="0"/>
        <w:ind w:left="0" w:right="0" w:firstLine="554"/>
        <w:jc w:val="left"/>
        <w:rPr>
          <w:caps w:val="false"/>
          <w:smallCaps w:val="false"/>
        </w:rPr>
      </w:pPr>
      <w:r>
        <w:rPr>
          <w:caps w:val="false"/>
          <w:smallCaps w:val="false"/>
        </w:rPr>
        <w:t> </w:t>
      </w:r>
    </w:p>
    <w:tbl>
      <w:tblPr>
        <w:tblW w:w="6883" w:type="dxa"/>
        <w:jc w:val="left"/>
        <w:tblInd w:w="0" w:type="dxa"/>
        <w:tblLayout w:type="fixed"/>
        <w:tblCellMar>
          <w:top w:w="0" w:type="dxa"/>
          <w:left w:w="0" w:type="dxa"/>
          <w:bottom w:w="0" w:type="dxa"/>
          <w:right w:w="0" w:type="dxa"/>
        </w:tblCellMar>
      </w:tblPr>
      <w:tblGrid>
        <w:gridCol w:w="3890"/>
        <w:gridCol w:w="60"/>
        <w:gridCol w:w="236"/>
        <w:gridCol w:w="1146"/>
        <w:gridCol w:w="160"/>
        <w:gridCol w:w="101"/>
        <w:gridCol w:w="236"/>
        <w:gridCol w:w="944"/>
        <w:gridCol w:w="110"/>
      </w:tblGrid>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2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38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60"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823" w:type="dxa"/>
            <w:gridSpan w:val="6"/>
            <w:tcBorders/>
            <w:vAlign w:val="center"/>
          </w:tcPr>
          <w:p>
            <w:pPr>
              <w:pStyle w:val="TableContents"/>
              <w:bidi w:val="0"/>
              <w:spacing w:before="0" w:after="283"/>
              <w:jc w:val="center"/>
              <w:rPr>
                <w:b/>
              </w:rPr>
            </w:pPr>
            <w:r>
              <w:rPr>
                <w:b/>
              </w:rPr>
              <w:t>(in thousands)</w:t>
            </w:r>
          </w:p>
        </w:tc>
        <w:tc>
          <w:tcPr>
            <w:tcW w:w="11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146" w:type="dxa"/>
            <w:tcBorders/>
            <w:shd w:fill="CCEEFF" w:val="clear"/>
            <w:vAlign w:val="center"/>
          </w:tcPr>
          <w:p>
            <w:pPr>
              <w:pStyle w:val="TableContents"/>
              <w:bidi w:val="0"/>
              <w:spacing w:before="0" w:after="283"/>
              <w:jc w:val="right"/>
              <w:rPr/>
            </w:pPr>
            <w:r>
              <w:rPr/>
              <w:t>(2,688</w:t>
            </w:r>
          </w:p>
        </w:tc>
        <w:tc>
          <w:tcPr>
            <w:tcW w:w="16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944" w:type="dxa"/>
            <w:tcBorders/>
            <w:shd w:fill="CCEEFF" w:val="clear"/>
            <w:vAlign w:val="center"/>
          </w:tcPr>
          <w:p>
            <w:pPr>
              <w:pStyle w:val="TableContents"/>
              <w:bidi w:val="0"/>
              <w:spacing w:before="0" w:after="283"/>
              <w:jc w:val="right"/>
              <w:rPr/>
            </w:pPr>
            <w:r>
              <w:rPr/>
              <w:t>(464</w:t>
            </w:r>
          </w:p>
        </w:tc>
        <w:tc>
          <w:tcPr>
            <w:tcW w:w="110"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1146" w:type="dxa"/>
            <w:tcBorders/>
            <w:shd w:fill="FFFFFF" w:val="clear"/>
            <w:vAlign w:val="center"/>
          </w:tcPr>
          <w:p>
            <w:pPr>
              <w:pStyle w:val="TableContents"/>
              <w:bidi w:val="0"/>
              <w:spacing w:before="0" w:after="283"/>
              <w:jc w:val="right"/>
              <w:rPr/>
            </w:pPr>
            <w:r>
              <w:rPr/>
              <w:t>13,839</w:t>
            </w:r>
          </w:p>
        </w:tc>
        <w:tc>
          <w:tcPr>
            <w:tcW w:w="1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6" w:type="dxa"/>
            <w:tcBorders/>
            <w:shd w:fill="FFFFFF" w:val="clear"/>
            <w:vAlign w:val="center"/>
          </w:tcPr>
          <w:p>
            <w:pPr>
              <w:pStyle w:val="TableContents"/>
              <w:bidi w:val="0"/>
              <w:spacing w:before="0" w:after="283"/>
              <w:jc w:val="left"/>
              <w:rPr/>
            </w:pPr>
            <w:r>
              <w:rPr/>
              <w:t> </w:t>
            </w:r>
          </w:p>
        </w:tc>
        <w:tc>
          <w:tcPr>
            <w:tcW w:w="944" w:type="dxa"/>
            <w:tcBorders/>
            <w:shd w:fill="FFFFFF" w:val="clear"/>
            <w:vAlign w:val="center"/>
          </w:tcPr>
          <w:p>
            <w:pPr>
              <w:pStyle w:val="TableContents"/>
              <w:bidi w:val="0"/>
              <w:spacing w:before="0" w:after="283"/>
              <w:jc w:val="right"/>
              <w:rPr/>
            </w:pPr>
            <w:r>
              <w:rPr/>
              <w:t>1,482</w:t>
            </w:r>
          </w:p>
        </w:tc>
        <w:tc>
          <w:tcPr>
            <w:tcW w:w="11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6" w:type="dxa"/>
            <w:tcBorders>
              <w:bottom w:val="single" w:sz="8" w:space="0" w:color="000000"/>
            </w:tcBorders>
            <w:shd w:fill="CCEEFF" w:val="clear"/>
            <w:tcMar>
              <w:bottom w:w="28" w:type="dxa"/>
            </w:tcMar>
            <w:vAlign w:val="center"/>
          </w:tcPr>
          <w:p>
            <w:pPr>
              <w:pStyle w:val="TableContents"/>
              <w:bidi w:val="0"/>
              <w:spacing w:before="0" w:after="283"/>
              <w:jc w:val="right"/>
              <w:rPr/>
            </w:pPr>
            <w:r>
              <w:rPr/>
              <w:t>(39</w:t>
            </w:r>
          </w:p>
        </w:tc>
        <w:tc>
          <w:tcPr>
            <w:tcW w:w="160" w:type="dxa"/>
            <w:tcBorders/>
            <w:shd w:fill="CCEEFF" w:val="clear"/>
            <w:vAlign w:val="center"/>
          </w:tcPr>
          <w:p>
            <w:pPr>
              <w:pStyle w:val="TableContents"/>
              <w:bidi w:val="0"/>
              <w:spacing w:before="0" w:after="283"/>
              <w:jc w:val="left"/>
              <w:rPr/>
            </w:pPr>
            <w:r>
              <w:rPr/>
              <w:t>)</w:t>
            </w:r>
          </w:p>
        </w:tc>
        <w:tc>
          <w:tcPr>
            <w:tcW w:w="101" w:type="dxa"/>
            <w:tcBorders/>
            <w:shd w:fill="CCEEFF" w:val="clear"/>
            <w:vAlign w:val="center"/>
          </w:tcPr>
          <w:p>
            <w:pPr>
              <w:pStyle w:val="TableContents"/>
              <w:bidi w:val="0"/>
              <w:spacing w:before="0" w:after="283"/>
              <w:jc w:val="left"/>
              <w:rPr/>
            </w:pPr>
            <w:r>
              <w:rPr/>
              <w:t> </w:t>
            </w:r>
          </w:p>
        </w:tc>
        <w:tc>
          <w:tcPr>
            <w:tcW w:w="23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4" w:type="dxa"/>
            <w:tcBorders>
              <w:bottom w:val="single" w:sz="8" w:space="0" w:color="000000"/>
            </w:tcBorders>
            <w:shd w:fill="CCEEFF" w:val="clear"/>
            <w:tcMar>
              <w:bottom w:w="28" w:type="dxa"/>
            </w:tcMar>
            <w:vAlign w:val="center"/>
          </w:tcPr>
          <w:p>
            <w:pPr>
              <w:pStyle w:val="TableContents"/>
              <w:bidi w:val="0"/>
              <w:spacing w:before="0" w:after="283"/>
              <w:jc w:val="right"/>
              <w:rPr/>
            </w:pPr>
            <w:r>
              <w:rPr/>
              <w:t>(21</w:t>
            </w:r>
          </w:p>
        </w:tc>
        <w:tc>
          <w:tcPr>
            <w:tcW w:w="110"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increase in cash</w:t>
            </w:r>
          </w:p>
        </w:tc>
        <w:tc>
          <w:tcPr>
            <w:tcW w:w="60"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6" w:type="dxa"/>
            <w:tcBorders>
              <w:bottom w:val="double" w:sz="6" w:space="0" w:color="000000"/>
            </w:tcBorders>
            <w:shd w:fill="FFFFFF" w:val="clear"/>
            <w:tcMar>
              <w:bottom w:w="28" w:type="dxa"/>
            </w:tcMar>
            <w:vAlign w:val="center"/>
          </w:tcPr>
          <w:p>
            <w:pPr>
              <w:pStyle w:val="TableContents"/>
              <w:bidi w:val="0"/>
              <w:spacing w:before="0" w:after="283"/>
              <w:jc w:val="right"/>
              <w:rPr/>
            </w:pPr>
            <w:r>
              <w:rPr/>
              <w:t>11,112</w:t>
            </w:r>
          </w:p>
        </w:tc>
        <w:tc>
          <w:tcPr>
            <w:tcW w:w="160"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3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4" w:type="dxa"/>
            <w:tcBorders>
              <w:bottom w:val="double" w:sz="6" w:space="0" w:color="000000"/>
            </w:tcBorders>
            <w:shd w:fill="FFFFFF" w:val="clear"/>
            <w:tcMar>
              <w:bottom w:w="28" w:type="dxa"/>
            </w:tcMar>
            <w:vAlign w:val="center"/>
          </w:tcPr>
          <w:p>
            <w:pPr>
              <w:pStyle w:val="TableContents"/>
              <w:bidi w:val="0"/>
              <w:spacing w:before="0" w:after="283"/>
              <w:jc w:val="right"/>
              <w:rPr/>
            </w:pPr>
            <w:r>
              <w:rPr/>
              <w:t>997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$2.7 million for the six months ended June 30, 2026. Operating cash flows reflected a net loss of $3.1 million, partially offset by $805 thousand in non-cash charges. Changes in working capital were primarily driven by a $214 thousand decrease in accounts payable, a $174 thousand decrease in accrued expenses and other current liabilities, partially offset by a $40 thousand increase in prepaid expenses and other current and non-current assets. Non-cash charges included $361 thousand in non-cash interest expense and $444 thousand in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operating activities was $464 thousand for the six months ended June 30, 2025. Operating cash flows reflected net income of $1.9 million and a $0.8 million net increase in working capital, partially offset by offset by $3.2 million in net non-cash charges. Changes in working capital were primarily driven by a $720 thousand increase in accrued expenses and other current liabilities, and a $73 thousand increase in accounts payable, partially offset by a $37 thousand increase in prepaid expenses and other current and non-current assets. Non-cash charges included $2.4 million gain on extinguishment of Forward Purchase Agreement settlement liability, and $1.2 million gain on extinguishment of liabilities, partially offset by $195 thousand in non-cash interest expense, a $134 thousand loss on extinguishment of Senior Secured Note and $74,000 thousand in stock-based compensation.</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$13.9 million for the six months ended June 30, 2026. This amount primarily reflects $13.8 million in net proceeds received from the sale of Series D Convertible Preferred shares, net of expenses, and proceeds of $1 thousand on the exercise of stock options.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was $1.5 million for the six months ended June 30, 2025. This amount primarily reflects $2.8 million in net proceeds received from the issuance of Convertible Promissory Notes, partially offset by the repayment of $1.3 million of Senior Secured Notes.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Off-Balance Sheet Financing Arrangements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 obligations, assets or liabilities which would be considered off-balance sheet arrangements during the periods presented. Zapata and Legacy Zapata have not entered into any off-balance sheet financing agreements, established any special purpose entities, guaranteed any debt or commitments of other entities, or purchased any non-financial assets.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Significant Judgments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material changes to our critical accounting policies from those disclosed in the “Management’s Discussion and Analysis of Financial Condition and Results of Operations—Critical Accounting Policies and Significant Judgments and Estimates” section of our Annual Report on Form 10-K for the year ended December 31, 2025.</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Recently Issued and Adopted Accounting Pronouncements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description of recently issued accounting pronouncements that may potentially impact our financial position and results of operations is disclosed in Note 2 to our condensed consolidated financial statements, which are included elsewhere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 Status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Zapata Quantum Inc. qualifies as an “emerging growth company,” as defined in the Jumpstart Our Business Startups Act of 2012 (the “JOBS Act”). Pursuant to the JOBS Act, an emerging growth company is provided the option to adopt new or revised accounting standards that may be issued by Financial Accounting Standards Board (“FASB”) or the SEC either (i) within the same periods as those otherwise applicable to non-emerging growth companies or (ii) within the same time periods as private companies. We intend to utilize the exemption for complying with new or revised accounting standards within the same time periods as private companies. Accordingly, the information contained herein may be different than the information you receive from other public companies. We also intend to utilize some of the reduced regulatory and reporting requirements applicable to emerging growth companies pursuant to the JOBS Act so long as the Company qualifies as an emerging growth company, including, but not limited to, not being required to comply with the auditor attestation requirements of Section 404(b) of the Sarbanes-Oxley Act of 2002, reduced disclosure obligations regarding executive compensation and exemptions from the requirements of holding non-binding advisory votes on executive compensation and golden parachute payments.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4" w:name="q2_009"/>
      <w:bookmarkEnd w:id="674"/>
      <w:r>
        <w:rPr>
          <w:rFonts w:ascii="Times New Roman;Times;Serif" w:hAnsi="Times New Roman;Times;Serif"/>
          <w:b/>
          <w:i w:val="false"/>
          <w:caps w:val="false"/>
          <w:smallCaps w:val="false"/>
          <w:sz w:val="20"/>
        </w:rPr>
        <w:t>Item 3. Quantitative and Qualitative Disclosures About Market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5" w:name="q2_010"/>
      <w:bookmarkEnd w:id="675"/>
      <w:r>
        <w:rPr>
          <w:rFonts w:ascii="Times New Roman;Times;Serif" w:hAnsi="Times New Roman;Times;Serif"/>
          <w:b/>
          <w:i w:val="false"/>
          <w:caps w:val="false"/>
          <w:smallCaps w:val="false"/>
          <w:sz w:val="20"/>
        </w:rPr>
        <w:t>Item 4.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Disclosure Controls and Procedures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rules and forms of the Securities and Exchange Commission (the “SEC”).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as appropriate, to allow timely decisions regarding required disclosure.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Chief Executive Officer and Chief Financial Officer, after evaluating the effectiveness of our disclosure controls and procedures (as defined in Exchange Act Rules 13a-15(e) and 15d-15(e)) as of June 30, 2026, have concluded that, based on such evaluation, our disclosure controls and procedures were not effective due to the material weaknesses described below.</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Management has identified the following material weaknesses which have caused management to conclude that, as of June 30, 2026, our disclosure controls and procedures were not effective:</w:t>
      </w:r>
    </w:p>
    <w:p>
      <w:pPr>
        <w:pStyle w:val="TextBody"/>
        <w:bidi w:val="0"/>
        <w:spacing w:before="0" w:after="0"/>
        <w:ind w:left="0" w:right="0" w:firstLine="554"/>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The Company does not have sufficient segregation of duties within accounting functions, as its Chief Executive Officer is the sole officer.</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The Company does not have sufficient or complete written documentation of our internal controls policies and procedures.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A substantial portion of the Company’s financial reporting is carried out by an outside accounting firm.</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 xml:space="preserve">The Company’s human resources, processes and systems are not sufficient to enable the production of timely and accurate financial statements in accordance with US GAAP. </w:t>
            </w:r>
          </w:p>
        </w:tc>
      </w:tr>
    </w:tbl>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firstLine="554"/>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54"/>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Plans for Remediation of Material Weaknesses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has taken actions to remediate the deficiencies in its internal controls over financial reporting and implemented additional processes and controls designed to address the underlying causes associated with the above-mentioned material weaknesses. Management is committed to finalizing the remediation of the material weaknesses. Management’s internal control remediation efforts include the following:</w:t>
      </w:r>
    </w:p>
    <w:p>
      <w:pPr>
        <w:pStyle w:val="TextBody"/>
        <w:bidi w:val="0"/>
        <w:spacing w:before="0" w:after="0"/>
        <w:ind w:left="0" w:right="0" w:firstLine="554"/>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We are currently in the process of identifying and engaging internal control consultants to assist us in performing a risk assessment as well as identifying and designing a system of internal controls necessary to mitigate the risks identified, including preparation of written documentation and testing of our internal control policies and procedures;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sz w:val="20"/>
              </w:rPr>
            </w:pPr>
            <w:r>
              <w:rPr>
                <w:sz w:val="20"/>
              </w:rPr>
              <w:t>We plan to increase our personnel resources and technical accounting expertise within the accounting function to replace our outside service providers; until we have sufficient technical accounting and financial reporting capabilities, we have retained an accounting consulting firm to provide support and to assist us in our evaluation of more complex applications of U.S. GAAP and assist us with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Changes in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with respect to the ongoing remediation efforts on the material weaknesses, there were no changes in our internal control over financial reporting (as defined in Exchange Act Rules 13a-15(f) and 15d-15(f)) during the quarter ended June 30, 2026 that have materially affected, or are reasonably likely to materially affect, our internal control over financial reporting.</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Limitations of the Effectiveness of Internal Controls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control system, no matter how well conceived and operated, can provide only reasonable, not absolute, assurance that the objectives of the internal control system are met. Because of the inherent limitations of any internal control system, no evaluation of controls can provide absolute assurance that all control issues, if any, within a company have been detected.</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firstLine="36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36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76" w:name="q2_011"/>
      <w:bookmarkEnd w:id="676"/>
      <w:r>
        <w:rPr>
          <w:rFonts w:ascii="Times New Roman;Times;Serif" w:hAnsi="Times New Roman;Times;Serif"/>
          <w:b/>
          <w:i w:val="false"/>
          <w:caps w:val="false"/>
          <w:smallCaps w:val="false"/>
          <w:sz w:val="20"/>
        </w:rPr>
        <w:t>PART II—OTHER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7" w:name="q2_012"/>
      <w:bookmarkEnd w:id="677"/>
      <w:r>
        <w:rPr>
          <w:rFonts w:ascii="Times New Roman;Times;Serif" w:hAnsi="Times New Roman;Times;Serif"/>
          <w:b/>
          <w:i w:val="false"/>
          <w:caps w:val="false"/>
          <w:smallCaps w:val="false"/>
          <w:sz w:val="20"/>
        </w:rPr>
        <w:t>Item 1. 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 involved in litigation that arises through the normal course of business. As of the date of this filing, we are not aware of any material legal proceedings to which we or any of our subsidiaries is a party or to which any of our property is subject, nor are we aware of any such threatened or pending litigation or any such proceedings known to be contemplated by governmental authorities. We are not aware of any material proceedings in which any of our directors, officers, or affiliates or any registered or beneficial stockholder of more than 5% of our Common Stock, or any associate of any of the foregoing, is a party adverse to or has a material interest adverse to, us or any of our subsidiaries.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8" w:name="q2_013"/>
      <w:bookmarkEnd w:id="678"/>
      <w:r>
        <w:rPr>
          <w:rFonts w:ascii="Times New Roman;Times;Serif" w:hAnsi="Times New Roman;Times;Serif"/>
          <w:b/>
          <w:i w:val="false"/>
          <w:caps w:val="false"/>
          <w:smallCaps w:val="false"/>
          <w:sz w:val="20"/>
        </w:rPr>
        <w:t>Item 1A. Risk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Not applicable for smaller reporting companies.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79" w:name="q2_014"/>
      <w:bookmarkEnd w:id="679"/>
      <w:r>
        <w:rPr>
          <w:rFonts w:ascii="Times New Roman;Times;Serif" w:hAnsi="Times New Roman;Times;Serif"/>
          <w:b/>
          <w:i w:val="false"/>
          <w:caps w:val="false"/>
          <w:smallCaps w:val="false"/>
          <w:sz w:val="20"/>
        </w:rPr>
        <w:t>Item 2. Unregistered Sales of Equity Securities, Use of Proceeds, and Issuer Purchases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recent sales of unregistered securities have been previously reported.</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0" w:name="q2_015"/>
      <w:bookmarkEnd w:id="680"/>
      <w:r>
        <w:rPr>
          <w:rFonts w:ascii="Times New Roman;Times;Serif" w:hAnsi="Times New Roman;Times;Serif"/>
          <w:b/>
          <w:i w:val="false"/>
          <w:caps w:val="false"/>
          <w:smallCaps w:val="false"/>
          <w:sz w:val="20"/>
        </w:rPr>
        <w:t>Item 3. Defaults Upon Senior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1" w:name="q2_016"/>
      <w:bookmarkEnd w:id="681"/>
      <w:r>
        <w:rPr>
          <w:rFonts w:ascii="Times New Roman;Times;Serif" w:hAnsi="Times New Roman;Times;Serif"/>
          <w:b/>
          <w:i w:val="false"/>
          <w:caps w:val="false"/>
          <w:smallCaps w:val="false"/>
          <w:sz w:val="20"/>
        </w:rPr>
        <w:t>Item 4. Mine Safety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682" w:name="q2_017"/>
      <w:bookmarkEnd w:id="682"/>
      <w:r>
        <w:rPr>
          <w:rFonts w:ascii="Times New Roman;Times;Serif" w:hAnsi="Times New Roman;Times;Serif"/>
          <w:b/>
          <w:i w:val="false"/>
          <w:caps w:val="false"/>
          <w:smallCaps w:val="false"/>
          <w:sz w:val="20"/>
        </w:rPr>
        <w:t>Item 5. Other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six months ended June 30, 2026, none of our directors or officers (as defined in Rule 16a-1(f) under the Exchange Act) </w:t>
      </w:r>
      <w:bookmarkStart w:id="683" w:name="xdx_908_eecd--NonRule10b51ArrAdoptedFlag"/>
      <w:bookmarkStart w:id="684" w:name="xdx_906_eecd--Rule10b51ArrAdoptedFlag_db"/>
      <w:bookmarkEnd w:id="683"/>
      <w:bookmarkEnd w:id="684"/>
      <w:r>
        <w:rPr>
          <w:rFonts w:ascii="Times New Roman;Times;Serif" w:hAnsi="Times New Roman;Times;Serif"/>
          <w:b w:val="false"/>
          <w:i w:val="false"/>
          <w:caps w:val="false"/>
          <w:smallCaps w:val="false"/>
          <w:sz w:val="20"/>
        </w:rPr>
        <w:t xml:space="preserve">adopted or </w:t>
      </w:r>
      <w:bookmarkStart w:id="685" w:name="xdx_901_eecd--NonRule10b51ArrTrmntdFlag_"/>
      <w:bookmarkStart w:id="686" w:name="xdx_90B_eecd--Rule10b51ArrTrmntdFlag_dbF"/>
      <w:bookmarkEnd w:id="685"/>
      <w:bookmarkEnd w:id="686"/>
      <w:r>
        <w:rPr>
          <w:rFonts w:ascii="Times New Roman;Times;Serif" w:hAnsi="Times New Roman;Times;Serif"/>
          <w:b w:val="false"/>
          <w:i w:val="false"/>
          <w:caps w:val="false"/>
          <w:smallCaps w:val="false"/>
          <w:sz w:val="20"/>
        </w:rPr>
        <w:t>terminated any contract, instruction or written plan for the purchase or sale of our securities that was intended to satisfy the affirmative defense conditions of Rule 10b5-1(c) under the Exchange Act or any “non-Rule 10b5-1 arrangement” as defined in Item 408(c) of Regulation 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bookmarkStart w:id="687" w:name="q2_018"/>
      <w:bookmarkEnd w:id="687"/>
      <w:r>
        <w:rPr>
          <w:rFonts w:ascii="Times New Roman;Times;Serif" w:hAnsi="Times New Roman;Times;Serif"/>
          <w:b/>
          <w:i w:val="false"/>
          <w:caps w:val="false"/>
          <w:smallCaps w:val="false"/>
          <w:sz w:val="20"/>
        </w:rPr>
        <w:t>Item 6.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08"/>
        <w:gridCol w:w="60"/>
        <w:gridCol w:w="6271"/>
        <w:gridCol w:w="60"/>
        <w:gridCol w:w="1054"/>
        <w:gridCol w:w="60"/>
        <w:gridCol w:w="521"/>
        <w:gridCol w:w="62"/>
        <w:gridCol w:w="677"/>
        <w:gridCol w:w="62"/>
        <w:gridCol w:w="670"/>
      </w:tblGrid>
      <w:tr>
        <w:trPr/>
        <w:tc>
          <w:tcPr>
            <w:tcW w:w="708"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6271"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992" w:type="dxa"/>
            <w:gridSpan w:val="5"/>
            <w:tcBorders>
              <w:bottom w:val="single" w:sz="8" w:space="0" w:color="000000"/>
            </w:tcBorders>
            <w:tcMar>
              <w:bottom w:w="28" w:type="dxa"/>
            </w:tcMar>
            <w:vAlign w:val="center"/>
          </w:tcPr>
          <w:p>
            <w:pPr>
              <w:pStyle w:val="TableContents"/>
              <w:bidi w:val="0"/>
              <w:spacing w:before="0" w:after="283"/>
              <w:jc w:val="center"/>
              <w:rPr>
                <w:b/>
                <w:sz w:val="20"/>
              </w:rPr>
            </w:pPr>
            <w:r>
              <w:rPr>
                <w:b/>
                <w:sz w:val="20"/>
              </w:rPr>
              <w:t>Incorporated by Reference</w:t>
            </w:r>
          </w:p>
        </w:tc>
      </w:tr>
      <w:tr>
        <w:trPr/>
        <w:tc>
          <w:tcPr>
            <w:tcW w:w="708"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vAlign w:val="center"/>
          </w:tcPr>
          <w:p>
            <w:pPr>
              <w:pStyle w:val="TableContents"/>
              <w:bidi w:val="0"/>
              <w:spacing w:before="0" w:after="283"/>
              <w:jc w:val="center"/>
              <w:rPr/>
            </w:pPr>
            <w:r>
              <w:rPr/>
              <w:t> </w:t>
            </w:r>
          </w:p>
        </w:tc>
        <w:tc>
          <w:tcPr>
            <w:tcW w:w="6271"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Description</w:t>
            </w:r>
          </w:p>
        </w:tc>
        <w:tc>
          <w:tcPr>
            <w:tcW w:w="60" w:type="dxa"/>
            <w:tcBorders/>
            <w:vAlign w:val="center"/>
          </w:tcPr>
          <w:p>
            <w:pPr>
              <w:pStyle w:val="TableContents"/>
              <w:bidi w:val="0"/>
              <w:spacing w:before="0" w:after="283"/>
              <w:jc w:val="left"/>
              <w:rPr/>
            </w:pPr>
            <w:r>
              <w:rPr/>
              <w:t> </w:t>
            </w:r>
          </w:p>
        </w:tc>
        <w:tc>
          <w:tcPr>
            <w:tcW w:w="1054"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Filed/Furnished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c>
          <w:tcPr>
            <w:tcW w:w="60" w:type="dxa"/>
            <w:tcBorders/>
            <w:vAlign w:val="center"/>
          </w:tcPr>
          <w:p>
            <w:pPr>
              <w:pStyle w:val="TableContents"/>
              <w:bidi w:val="0"/>
              <w:spacing w:before="0" w:after="283"/>
              <w:jc w:val="center"/>
              <w:rPr/>
            </w:pPr>
            <w:r>
              <w:rPr/>
              <w:t> </w:t>
            </w:r>
          </w:p>
        </w:tc>
        <w:tc>
          <w:tcPr>
            <w:tcW w:w="521" w:type="dxa"/>
            <w:tcBorders>
              <w:bottom w:val="single" w:sz="8" w:space="0" w:color="000000"/>
            </w:tcBorders>
            <w:tcMar>
              <w:bottom w:w="28" w:type="dxa"/>
            </w:tcMar>
            <w:vAlign w:val="center"/>
          </w:tcPr>
          <w:p>
            <w:pPr>
              <w:pStyle w:val="TableContents"/>
              <w:bidi w:val="0"/>
              <w:spacing w:before="0" w:after="283"/>
              <w:jc w:val="center"/>
              <w:rPr>
                <w:b/>
                <w:sz w:val="20"/>
              </w:rPr>
            </w:pPr>
            <w:r>
              <w:rPr>
                <w:b/>
                <w:sz w:val="20"/>
              </w:rPr>
              <w:t>Form</w:t>
            </w:r>
          </w:p>
        </w:tc>
        <w:tc>
          <w:tcPr>
            <w:tcW w:w="62" w:type="dxa"/>
            <w:tcBorders/>
            <w:vAlign w:val="center"/>
          </w:tcPr>
          <w:p>
            <w:pPr>
              <w:pStyle w:val="TableContents"/>
              <w:bidi w:val="0"/>
              <w:spacing w:before="0" w:after="283"/>
              <w:jc w:val="center"/>
              <w:rPr/>
            </w:pPr>
            <w:r>
              <w:rPr/>
              <w:t> </w:t>
            </w:r>
          </w:p>
        </w:tc>
        <w:tc>
          <w:tcPr>
            <w:tcW w:w="677"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2" w:type="dxa"/>
            <w:tcBorders/>
            <w:vAlign w:val="center"/>
          </w:tcPr>
          <w:p>
            <w:pPr>
              <w:pStyle w:val="TableContents"/>
              <w:bidi w:val="0"/>
              <w:spacing w:before="0" w:after="283"/>
              <w:jc w:val="center"/>
              <w:rPr/>
            </w:pPr>
            <w:r>
              <w:rPr/>
              <w:t> </w:t>
            </w:r>
          </w:p>
        </w:tc>
        <w:tc>
          <w:tcPr>
            <w:tcW w:w="670"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708" w:type="dxa"/>
            <w:tcBorders/>
            <w:vAlign w:val="center"/>
          </w:tcPr>
          <w:p>
            <w:pPr>
              <w:pStyle w:val="TableContents"/>
              <w:bidi w:val="0"/>
              <w:spacing w:before="0" w:after="283"/>
              <w:jc w:val="center"/>
              <w:rPr>
                <w:sz w:val="20"/>
              </w:rPr>
            </w:pPr>
            <w:r>
              <w:rPr>
                <w:sz w:val="20"/>
              </w:rPr>
              <w:t>2.1</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2">
              <w:r>
                <w:rPr>
                  <w:rStyle w:val="InternetLink"/>
                  <w:sz w:val="20"/>
                </w:rPr>
                <w:t>Business Combination Agreement, dated as of September 6, 2023, by and among the Company, Tigre Merger Sub, Inc. and Legacy Zapata</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2.1</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9/6/23</w:t>
            </w:r>
          </w:p>
        </w:tc>
      </w:tr>
      <w:tr>
        <w:trPr/>
        <w:tc>
          <w:tcPr>
            <w:tcW w:w="708" w:type="dxa"/>
            <w:tcBorders/>
            <w:vAlign w:val="center"/>
          </w:tcPr>
          <w:p>
            <w:pPr>
              <w:pStyle w:val="TableContents"/>
              <w:bidi w:val="0"/>
              <w:spacing w:before="0" w:after="283"/>
              <w:jc w:val="center"/>
              <w:rPr>
                <w:sz w:val="20"/>
              </w:rPr>
            </w:pPr>
            <w:r>
              <w:rPr>
                <w:sz w:val="20"/>
              </w:rPr>
              <w:t>3.1</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3">
              <w:r>
                <w:rPr>
                  <w:rStyle w:val="InternetLink"/>
                  <w:sz w:val="20"/>
                </w:rPr>
                <w:t>Certificate of Incorporation</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3.1</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4/3/24</w:t>
            </w:r>
          </w:p>
        </w:tc>
      </w:tr>
      <w:tr>
        <w:trPr/>
        <w:tc>
          <w:tcPr>
            <w:tcW w:w="708" w:type="dxa"/>
            <w:tcBorders/>
            <w:vAlign w:val="center"/>
          </w:tcPr>
          <w:p>
            <w:pPr>
              <w:pStyle w:val="TableContents"/>
              <w:bidi w:val="0"/>
              <w:spacing w:before="0" w:after="283"/>
              <w:jc w:val="center"/>
              <w:rPr>
                <w:sz w:val="20"/>
              </w:rPr>
            </w:pPr>
            <w:r>
              <w:rPr>
                <w:sz w:val="20"/>
              </w:rPr>
              <w:t>3.1(a)</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4">
              <w:r>
                <w:rPr>
                  <w:rStyle w:val="InternetLink"/>
                  <w:sz w:val="20"/>
                </w:rPr>
                <w:t>Certificate of Amendment to Certificate of Incorporation</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3.1</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8/27/25</w:t>
            </w:r>
          </w:p>
        </w:tc>
      </w:tr>
      <w:tr>
        <w:trPr/>
        <w:tc>
          <w:tcPr>
            <w:tcW w:w="708" w:type="dxa"/>
            <w:tcBorders/>
            <w:vAlign w:val="center"/>
          </w:tcPr>
          <w:p>
            <w:pPr>
              <w:pStyle w:val="TableContents"/>
              <w:bidi w:val="0"/>
              <w:spacing w:before="0" w:after="283"/>
              <w:jc w:val="center"/>
              <w:rPr>
                <w:sz w:val="20"/>
              </w:rPr>
            </w:pPr>
            <w:r>
              <w:rPr>
                <w:sz w:val="20"/>
              </w:rPr>
              <w:t>3.2</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5">
              <w:r>
                <w:rPr>
                  <w:rStyle w:val="InternetLink"/>
                  <w:sz w:val="20"/>
                </w:rPr>
                <w:t>Certificate of Designations, of Preferences, Rights and Limitation of the Series A Convertible Preferred Stock</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4.1</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10/28/25</w:t>
            </w:r>
          </w:p>
        </w:tc>
      </w:tr>
      <w:tr>
        <w:trPr/>
        <w:tc>
          <w:tcPr>
            <w:tcW w:w="708" w:type="dxa"/>
            <w:tcBorders/>
            <w:vAlign w:val="center"/>
          </w:tcPr>
          <w:p>
            <w:pPr>
              <w:pStyle w:val="TableContents"/>
              <w:bidi w:val="0"/>
              <w:spacing w:before="0" w:after="283"/>
              <w:jc w:val="center"/>
              <w:rPr>
                <w:sz w:val="20"/>
              </w:rPr>
            </w:pPr>
            <w:r>
              <w:rPr>
                <w:sz w:val="20"/>
              </w:rPr>
              <w:t>3.3</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6">
              <w:r>
                <w:rPr>
                  <w:rStyle w:val="InternetLink"/>
                  <w:sz w:val="20"/>
                </w:rPr>
                <w:t>Certificate of Designations, of Preferences, Rights and Limitation of the Series C Convertible Preferred Stock</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4.1</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7/24/25</w:t>
            </w:r>
          </w:p>
        </w:tc>
      </w:tr>
      <w:tr>
        <w:trPr/>
        <w:tc>
          <w:tcPr>
            <w:tcW w:w="708" w:type="dxa"/>
            <w:tcBorders/>
            <w:vAlign w:val="center"/>
          </w:tcPr>
          <w:p>
            <w:pPr>
              <w:pStyle w:val="TableContents"/>
              <w:bidi w:val="0"/>
              <w:spacing w:before="0" w:after="283"/>
              <w:jc w:val="center"/>
              <w:rPr>
                <w:sz w:val="20"/>
              </w:rPr>
            </w:pPr>
            <w:r>
              <w:rPr>
                <w:sz w:val="20"/>
              </w:rPr>
              <w:t>3.3(a)</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7">
              <w:r>
                <w:rPr>
                  <w:rStyle w:val="InternetLink"/>
                  <w:sz w:val="20"/>
                </w:rPr>
                <w:t>Certificate of Amendment to the Certificate of Designations, of Preferences, Rights and Limitation of the Series C Convertible Preferred Stock</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4.1</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11/6/25</w:t>
            </w:r>
          </w:p>
        </w:tc>
      </w:tr>
      <w:tr>
        <w:trPr/>
        <w:tc>
          <w:tcPr>
            <w:tcW w:w="708" w:type="dxa"/>
            <w:tcBorders/>
            <w:vAlign w:val="center"/>
          </w:tcPr>
          <w:p>
            <w:pPr>
              <w:pStyle w:val="TableContents"/>
              <w:bidi w:val="0"/>
              <w:spacing w:before="0" w:after="283"/>
              <w:jc w:val="center"/>
              <w:rPr>
                <w:sz w:val="20"/>
              </w:rPr>
            </w:pPr>
            <w:r>
              <w:rPr>
                <w:sz w:val="20"/>
              </w:rPr>
              <w:t>3.4</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8">
              <w:r>
                <w:rPr>
                  <w:rStyle w:val="InternetLink"/>
                  <w:sz w:val="20"/>
                </w:rPr>
                <w:t>Series D Certificate of Designation</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3.1</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4/8/26</w:t>
            </w:r>
          </w:p>
        </w:tc>
      </w:tr>
      <w:tr>
        <w:trPr/>
        <w:tc>
          <w:tcPr>
            <w:tcW w:w="708" w:type="dxa"/>
            <w:tcBorders/>
            <w:vAlign w:val="center"/>
          </w:tcPr>
          <w:p>
            <w:pPr>
              <w:pStyle w:val="TableContents"/>
              <w:bidi w:val="0"/>
              <w:spacing w:before="0" w:after="283"/>
              <w:jc w:val="center"/>
              <w:rPr>
                <w:sz w:val="20"/>
              </w:rPr>
            </w:pPr>
            <w:r>
              <w:rPr>
                <w:sz w:val="20"/>
              </w:rPr>
              <w:t>3.5</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9">
              <w:r>
                <w:rPr>
                  <w:rStyle w:val="InternetLink"/>
                  <w:sz w:val="20"/>
                </w:rPr>
                <w:t>Bylaws of Zapata Computing Holdings Inc.</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3.2</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4/3/24</w:t>
            </w:r>
          </w:p>
        </w:tc>
      </w:tr>
      <w:tr>
        <w:trPr/>
        <w:tc>
          <w:tcPr>
            <w:tcW w:w="708" w:type="dxa"/>
            <w:tcBorders/>
            <w:vAlign w:val="center"/>
          </w:tcPr>
          <w:p>
            <w:pPr>
              <w:pStyle w:val="TableContents"/>
              <w:bidi w:val="0"/>
              <w:spacing w:before="0" w:after="283"/>
              <w:jc w:val="center"/>
              <w:rPr>
                <w:sz w:val="20"/>
              </w:rPr>
            </w:pPr>
            <w:r>
              <w:rPr>
                <w:sz w:val="20"/>
              </w:rPr>
              <w:t>4.1</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10">
              <w:r>
                <w:rPr>
                  <w:rStyle w:val="InternetLink"/>
                  <w:sz w:val="20"/>
                </w:rPr>
                <w:t>Form of Note</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4.1</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6/18/25</w:t>
            </w:r>
          </w:p>
        </w:tc>
      </w:tr>
      <w:tr>
        <w:trPr/>
        <w:tc>
          <w:tcPr>
            <w:tcW w:w="708" w:type="dxa"/>
            <w:tcBorders/>
            <w:vAlign w:val="center"/>
          </w:tcPr>
          <w:p>
            <w:pPr>
              <w:pStyle w:val="TableContents"/>
              <w:bidi w:val="0"/>
              <w:spacing w:before="0" w:after="283"/>
              <w:jc w:val="center"/>
              <w:rPr>
                <w:sz w:val="20"/>
              </w:rPr>
            </w:pPr>
            <w:r>
              <w:rPr>
                <w:sz w:val="20"/>
              </w:rPr>
              <w:t>4.2</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11">
              <w:r>
                <w:rPr>
                  <w:rStyle w:val="InternetLink"/>
                  <w:sz w:val="20"/>
                </w:rPr>
                <w:t>Form of Warrant</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4.2</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6/18/25</w:t>
            </w:r>
          </w:p>
        </w:tc>
      </w:tr>
      <w:tr>
        <w:trPr/>
        <w:tc>
          <w:tcPr>
            <w:tcW w:w="708" w:type="dxa"/>
            <w:tcBorders/>
            <w:vAlign w:val="center"/>
          </w:tcPr>
          <w:p>
            <w:pPr>
              <w:pStyle w:val="TableContents"/>
              <w:bidi w:val="0"/>
              <w:spacing w:before="0" w:after="283"/>
              <w:jc w:val="center"/>
              <w:rPr>
                <w:sz w:val="20"/>
              </w:rPr>
            </w:pPr>
            <w:r>
              <w:rPr>
                <w:sz w:val="20"/>
              </w:rPr>
              <w:t>4.3</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12">
              <w:r>
                <w:rPr>
                  <w:rStyle w:val="InternetLink"/>
                  <w:sz w:val="20"/>
                </w:rPr>
                <w:t>Form of Warrant</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4.1</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4/8/26</w:t>
            </w:r>
          </w:p>
        </w:tc>
      </w:tr>
      <w:tr>
        <w:trPr/>
        <w:tc>
          <w:tcPr>
            <w:tcW w:w="708" w:type="dxa"/>
            <w:tcBorders/>
            <w:vAlign w:val="center"/>
          </w:tcPr>
          <w:p>
            <w:pPr>
              <w:pStyle w:val="TableContents"/>
              <w:bidi w:val="0"/>
              <w:spacing w:before="0" w:after="283"/>
              <w:jc w:val="center"/>
              <w:rPr>
                <w:sz w:val="20"/>
              </w:rPr>
            </w:pPr>
            <w:r>
              <w:rPr>
                <w:sz w:val="20"/>
              </w:rPr>
              <w:t>10.1</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13">
              <w:r>
                <w:rPr>
                  <w:rStyle w:val="InternetLink"/>
                  <w:sz w:val="20"/>
                </w:rPr>
                <w:t>Form of Conversion Agreement +</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10.1</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6/18/25</w:t>
            </w:r>
          </w:p>
        </w:tc>
      </w:tr>
      <w:tr>
        <w:trPr/>
        <w:tc>
          <w:tcPr>
            <w:tcW w:w="708" w:type="dxa"/>
            <w:tcBorders/>
            <w:vAlign w:val="center"/>
          </w:tcPr>
          <w:p>
            <w:pPr>
              <w:pStyle w:val="TableContents"/>
              <w:bidi w:val="0"/>
              <w:spacing w:before="0" w:after="283"/>
              <w:jc w:val="center"/>
              <w:rPr>
                <w:sz w:val="20"/>
              </w:rPr>
            </w:pPr>
            <w:r>
              <w:rPr>
                <w:sz w:val="20"/>
              </w:rPr>
              <w:t>10.2</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14">
              <w:r>
                <w:rPr>
                  <w:rStyle w:val="InternetLink"/>
                  <w:sz w:val="20"/>
                </w:rPr>
                <w:t>Form of Securities Purchase Agreement +</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10.2</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6/18/25</w:t>
            </w:r>
          </w:p>
        </w:tc>
      </w:tr>
      <w:tr>
        <w:trPr/>
        <w:tc>
          <w:tcPr>
            <w:tcW w:w="708" w:type="dxa"/>
            <w:tcBorders/>
            <w:vAlign w:val="center"/>
          </w:tcPr>
          <w:p>
            <w:pPr>
              <w:pStyle w:val="TableContents"/>
              <w:bidi w:val="0"/>
              <w:spacing w:before="0" w:after="283"/>
              <w:jc w:val="center"/>
              <w:rPr>
                <w:sz w:val="20"/>
              </w:rPr>
            </w:pPr>
            <w:r>
              <w:rPr>
                <w:sz w:val="20"/>
              </w:rPr>
              <w:t>10.3</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15">
              <w:r>
                <w:rPr>
                  <w:rStyle w:val="InternetLink"/>
                  <w:sz w:val="20"/>
                </w:rPr>
                <w:t>Form of Consent Agreement</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10.3</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6/18/25</w:t>
            </w:r>
          </w:p>
        </w:tc>
      </w:tr>
      <w:tr>
        <w:trPr/>
        <w:tc>
          <w:tcPr>
            <w:tcW w:w="708" w:type="dxa"/>
            <w:tcBorders/>
            <w:vAlign w:val="center"/>
          </w:tcPr>
          <w:p>
            <w:pPr>
              <w:pStyle w:val="TableContents"/>
              <w:bidi w:val="0"/>
              <w:spacing w:before="0" w:after="283"/>
              <w:jc w:val="center"/>
              <w:rPr>
                <w:sz w:val="20"/>
              </w:rPr>
            </w:pPr>
            <w:r>
              <w:rPr>
                <w:sz w:val="20"/>
              </w:rPr>
              <w:t>10.4</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16">
              <w:r>
                <w:rPr>
                  <w:rStyle w:val="InternetLink"/>
                  <w:sz w:val="20"/>
                </w:rPr>
                <w:t>Form of Universal Resale and Registration Provisions +</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10.4</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6/18/25</w:t>
            </w:r>
          </w:p>
        </w:tc>
      </w:tr>
      <w:tr>
        <w:trPr/>
        <w:tc>
          <w:tcPr>
            <w:tcW w:w="708" w:type="dxa"/>
            <w:tcBorders/>
            <w:vAlign w:val="center"/>
          </w:tcPr>
          <w:p>
            <w:pPr>
              <w:pStyle w:val="TableContents"/>
              <w:bidi w:val="0"/>
              <w:spacing w:before="0" w:after="283"/>
              <w:jc w:val="center"/>
              <w:rPr>
                <w:sz w:val="20"/>
              </w:rPr>
            </w:pPr>
            <w:r>
              <w:rPr>
                <w:sz w:val="20"/>
              </w:rPr>
              <w:t>10.5</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17">
              <w:r>
                <w:rPr>
                  <w:rStyle w:val="InternetLink"/>
                  <w:sz w:val="20"/>
                </w:rPr>
                <w:t>Form of Security Agreement +</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10.5</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6/18/25</w:t>
            </w:r>
          </w:p>
        </w:tc>
      </w:tr>
      <w:tr>
        <w:trPr/>
        <w:tc>
          <w:tcPr>
            <w:tcW w:w="708" w:type="dxa"/>
            <w:tcBorders/>
            <w:vAlign w:val="center"/>
          </w:tcPr>
          <w:p>
            <w:pPr>
              <w:pStyle w:val="TableContents"/>
              <w:bidi w:val="0"/>
              <w:spacing w:before="0" w:after="283"/>
              <w:jc w:val="center"/>
              <w:rPr>
                <w:sz w:val="20"/>
              </w:rPr>
            </w:pPr>
            <w:r>
              <w:rPr>
                <w:sz w:val="20"/>
              </w:rPr>
              <w:t>10.6</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18">
              <w:r>
                <w:rPr>
                  <w:rStyle w:val="InternetLink"/>
                  <w:sz w:val="20"/>
                </w:rPr>
                <w:t>Form of Intercreditor Agreement +</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10.6</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6/18/25</w:t>
            </w:r>
          </w:p>
        </w:tc>
      </w:tr>
      <w:tr>
        <w:trPr/>
        <w:tc>
          <w:tcPr>
            <w:tcW w:w="708" w:type="dxa"/>
            <w:tcBorders/>
            <w:vAlign w:val="center"/>
          </w:tcPr>
          <w:p>
            <w:pPr>
              <w:pStyle w:val="TableContents"/>
              <w:bidi w:val="0"/>
              <w:spacing w:before="0" w:after="283"/>
              <w:jc w:val="center"/>
              <w:rPr>
                <w:sz w:val="20"/>
              </w:rPr>
            </w:pPr>
            <w:r>
              <w:rPr>
                <w:sz w:val="20"/>
              </w:rPr>
              <w:t>10.7</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19">
              <w:r>
                <w:rPr>
                  <w:rStyle w:val="InternetLink"/>
                  <w:sz w:val="20"/>
                </w:rPr>
                <w:t>Form of Stock Option Agreement</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10.1</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10/15/25</w:t>
            </w:r>
          </w:p>
        </w:tc>
      </w:tr>
      <w:tr>
        <w:trPr/>
        <w:tc>
          <w:tcPr>
            <w:tcW w:w="708" w:type="dxa"/>
            <w:tcBorders/>
            <w:vAlign w:val="center"/>
          </w:tcPr>
          <w:p>
            <w:pPr>
              <w:pStyle w:val="TableContents"/>
              <w:bidi w:val="0"/>
              <w:spacing w:before="0" w:after="283"/>
              <w:jc w:val="center"/>
              <w:rPr>
                <w:sz w:val="20"/>
              </w:rPr>
            </w:pPr>
            <w:r>
              <w:rPr>
                <w:sz w:val="20"/>
              </w:rPr>
              <w:t>10.8</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20">
              <w:r>
                <w:rPr>
                  <w:rStyle w:val="InternetLink"/>
                  <w:sz w:val="20"/>
                </w:rPr>
                <w:t>Form of Forbearance Agreement +</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10.1</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10/28/25</w:t>
            </w:r>
          </w:p>
        </w:tc>
      </w:tr>
      <w:tr>
        <w:trPr/>
        <w:tc>
          <w:tcPr>
            <w:tcW w:w="708" w:type="dxa"/>
            <w:tcBorders/>
            <w:vAlign w:val="center"/>
          </w:tcPr>
          <w:p>
            <w:pPr>
              <w:pStyle w:val="TableContents"/>
              <w:bidi w:val="0"/>
              <w:spacing w:before="0" w:after="283"/>
              <w:jc w:val="center"/>
              <w:rPr>
                <w:sz w:val="20"/>
              </w:rPr>
            </w:pPr>
            <w:r>
              <w:rPr>
                <w:sz w:val="20"/>
              </w:rPr>
              <w:t>10.9</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21">
              <w:r>
                <w:rPr>
                  <w:rStyle w:val="InternetLink"/>
                  <w:sz w:val="20"/>
                </w:rPr>
                <w:t>Form of Securities Purchase Agreement +</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10.2</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10/28/25</w:t>
            </w:r>
          </w:p>
        </w:tc>
      </w:tr>
      <w:tr>
        <w:trPr/>
        <w:tc>
          <w:tcPr>
            <w:tcW w:w="708" w:type="dxa"/>
            <w:tcBorders/>
            <w:vAlign w:val="center"/>
          </w:tcPr>
          <w:p>
            <w:pPr>
              <w:pStyle w:val="TableContents"/>
              <w:bidi w:val="0"/>
              <w:spacing w:before="0" w:after="283"/>
              <w:jc w:val="center"/>
              <w:rPr>
                <w:sz w:val="20"/>
              </w:rPr>
            </w:pPr>
            <w:r>
              <w:rPr>
                <w:sz w:val="20"/>
              </w:rPr>
              <w:t>10.10</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22">
              <w:r>
                <w:rPr>
                  <w:rStyle w:val="InternetLink"/>
                  <w:sz w:val="20"/>
                </w:rPr>
                <w:t>Form of Securities Purchase Agreement</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10.1</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4/8/26</w:t>
            </w:r>
          </w:p>
        </w:tc>
      </w:tr>
      <w:tr>
        <w:trPr/>
        <w:tc>
          <w:tcPr>
            <w:tcW w:w="708" w:type="dxa"/>
            <w:tcBorders/>
            <w:vAlign w:val="center"/>
          </w:tcPr>
          <w:p>
            <w:pPr>
              <w:pStyle w:val="TableContents"/>
              <w:bidi w:val="0"/>
              <w:spacing w:before="0" w:after="283"/>
              <w:jc w:val="center"/>
              <w:rPr>
                <w:sz w:val="20"/>
              </w:rPr>
            </w:pPr>
            <w:r>
              <w:rPr>
                <w:sz w:val="20"/>
              </w:rPr>
              <w:t>10.11</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r:id="rId23">
              <w:r>
                <w:rPr>
                  <w:rStyle w:val="InternetLink"/>
                  <w:sz w:val="20"/>
                </w:rPr>
                <w:t>Form of Registration Rights Agreement</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sz w:val="20"/>
              </w:rPr>
            </w:pPr>
            <w:r>
              <w:rPr>
                <w:sz w:val="20"/>
              </w:rPr>
              <w:t>8-K</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sz w:val="20"/>
              </w:rPr>
            </w:pPr>
            <w:r>
              <w:rPr>
                <w:sz w:val="20"/>
              </w:rPr>
              <w:t>10.2</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sz w:val="20"/>
              </w:rPr>
            </w:pPr>
            <w:r>
              <w:rPr>
                <w:sz w:val="20"/>
              </w:rPr>
              <w:t>4/8/26</w:t>
            </w:r>
          </w:p>
        </w:tc>
      </w:tr>
      <w:tr>
        <w:trPr/>
        <w:tc>
          <w:tcPr>
            <w:tcW w:w="708" w:type="dxa"/>
            <w:tcBorders/>
            <w:vAlign w:val="center"/>
          </w:tcPr>
          <w:p>
            <w:pPr>
              <w:pStyle w:val="TableContents"/>
              <w:bidi w:val="0"/>
              <w:spacing w:before="0" w:after="283"/>
              <w:jc w:val="center"/>
              <w:rPr>
                <w:sz w:val="20"/>
              </w:rPr>
            </w:pPr>
            <w:r>
              <w:rPr>
                <w:sz w:val="20"/>
              </w:rPr>
              <w:t>10.12</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w:anchor="zapata_ex1012.htm">
              <w:r>
                <w:rPr>
                  <w:rStyle w:val="InternetLink"/>
                  <w:sz w:val="20"/>
                </w:rPr>
                <w:t>Exclusive Broker-Dealer and Leak-Out Management Agreement +</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sz w:val="20"/>
              </w:rPr>
            </w:pPr>
            <w:r>
              <w:rPr>
                <w:sz w:val="20"/>
              </w:rPr>
              <w:t>(1)</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pPr>
            <w:r>
              <w:rPr/>
              <w:t> </w:t>
            </w:r>
          </w:p>
        </w:tc>
      </w:tr>
      <w:tr>
        <w:trPr/>
        <w:tc>
          <w:tcPr>
            <w:tcW w:w="708" w:type="dxa"/>
            <w:tcBorders/>
            <w:vAlign w:val="center"/>
          </w:tcPr>
          <w:p>
            <w:pPr>
              <w:pStyle w:val="TableContents"/>
              <w:bidi w:val="0"/>
              <w:spacing w:before="0" w:after="283"/>
              <w:jc w:val="center"/>
              <w:rPr>
                <w:sz w:val="20"/>
              </w:rPr>
            </w:pPr>
            <w:r>
              <w:rPr>
                <w:sz w:val="20"/>
              </w:rPr>
              <w:t>31.1</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w:anchor="zapata_ex3101.htm">
              <w:r>
                <w:rPr>
                  <w:rStyle w:val="InternetLink"/>
                  <w:sz w:val="20"/>
                </w:rPr>
                <w:t>Certification of the Principal Executive Officer pursuant to Rules 13a-14(a) and 15d-14(a), as adopted pursuant to Section 302 of the Sarbanes-Oxley Act of 2002.</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sz w:val="20"/>
              </w:rPr>
            </w:pPr>
            <w:r>
              <w:rPr>
                <w:sz w:val="20"/>
              </w:rPr>
              <w:t>(1)</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pPr>
            <w:r>
              <w:rPr/>
              <w:t> </w:t>
            </w:r>
          </w:p>
        </w:tc>
      </w:tr>
      <w:tr>
        <w:trPr/>
        <w:tc>
          <w:tcPr>
            <w:tcW w:w="708" w:type="dxa"/>
            <w:tcBorders/>
            <w:vAlign w:val="center"/>
          </w:tcPr>
          <w:p>
            <w:pPr>
              <w:pStyle w:val="TableContents"/>
              <w:bidi w:val="0"/>
              <w:spacing w:before="0" w:after="283"/>
              <w:jc w:val="center"/>
              <w:rPr>
                <w:sz w:val="20"/>
              </w:rPr>
            </w:pPr>
            <w:r>
              <w:rPr>
                <w:sz w:val="20"/>
              </w:rPr>
              <w:t>31.2</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w:anchor="zapata_ex3102.htm">
              <w:r>
                <w:rPr>
                  <w:rStyle w:val="InternetLink"/>
                  <w:sz w:val="20"/>
                </w:rPr>
                <w:t>Certification of the Principal Financial Officer pursuant to Rules 13a-14(a) and 15d-14(a), as adopted pursuant to Section 302 of the Sarbanes-Oxley Act of 2002.</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sz w:val="20"/>
              </w:rPr>
            </w:pPr>
            <w:r>
              <w:rPr>
                <w:sz w:val="20"/>
              </w:rPr>
              <w:t>(1)</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pPr>
            <w:r>
              <w:rPr/>
              <w:t> </w:t>
            </w:r>
          </w:p>
        </w:tc>
      </w:tr>
      <w:tr>
        <w:trPr/>
        <w:tc>
          <w:tcPr>
            <w:tcW w:w="708" w:type="dxa"/>
            <w:tcBorders/>
            <w:vAlign w:val="center"/>
          </w:tcPr>
          <w:p>
            <w:pPr>
              <w:pStyle w:val="TableContents"/>
              <w:bidi w:val="0"/>
              <w:spacing w:before="0" w:after="283"/>
              <w:jc w:val="center"/>
              <w:rPr>
                <w:sz w:val="20"/>
              </w:rPr>
            </w:pPr>
            <w:r>
              <w:rPr>
                <w:sz w:val="20"/>
              </w:rPr>
              <w:t>32.1</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pPr>
            <w:hyperlink w:anchor="zapata_ex3201.htm">
              <w:r>
                <w:rPr>
                  <w:rStyle w:val="InternetLink"/>
                  <w:sz w:val="20"/>
                </w:rPr>
                <w:t>Certification of the Principal Executive Officer and Principal Financial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sz w:val="20"/>
              </w:rPr>
            </w:pPr>
            <w:r>
              <w:rPr>
                <w:sz w:val="20"/>
              </w:rPr>
              <w:t xml:space="preserve">(2) </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pPr>
            <w:r>
              <w:rPr/>
              <w:t> </w:t>
            </w:r>
          </w:p>
        </w:tc>
      </w:tr>
      <w:tr>
        <w:trPr/>
        <w:tc>
          <w:tcPr>
            <w:tcW w:w="708" w:type="dxa"/>
            <w:tcBorders/>
            <w:vAlign w:val="center"/>
          </w:tcPr>
          <w:p>
            <w:pPr>
              <w:pStyle w:val="TableContents"/>
              <w:bidi w:val="0"/>
              <w:spacing w:before="0" w:after="283"/>
              <w:jc w:val="left"/>
              <w:rPr>
                <w:sz w:val="20"/>
              </w:rPr>
            </w:pPr>
            <w:r>
              <w:rPr>
                <w:sz w:val="20"/>
              </w:rPr>
              <w:t>101.INS</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sz w:val="20"/>
              </w:rPr>
            </w:pPr>
            <w:r>
              <w:rPr>
                <w:sz w:val="20"/>
              </w:rPr>
              <w:t>Inline XBRL Instance Document</w:t>
            </w:r>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sz w:val="20"/>
              </w:rPr>
            </w:pPr>
            <w:r>
              <w:rPr>
                <w:sz w:val="20"/>
              </w:rPr>
              <w:t>(1)</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pPr>
            <w:r>
              <w:rPr/>
              <w:t> </w:t>
            </w:r>
          </w:p>
        </w:tc>
      </w:tr>
      <w:tr>
        <w:trPr/>
        <w:tc>
          <w:tcPr>
            <w:tcW w:w="708" w:type="dxa"/>
            <w:tcBorders/>
            <w:vAlign w:val="center"/>
          </w:tcPr>
          <w:p>
            <w:pPr>
              <w:pStyle w:val="TableContents"/>
              <w:bidi w:val="0"/>
              <w:spacing w:before="0" w:after="283"/>
              <w:jc w:val="left"/>
              <w:rPr>
                <w:sz w:val="20"/>
              </w:rPr>
            </w:pPr>
            <w:r>
              <w:rPr>
                <w:sz w:val="20"/>
              </w:rPr>
              <w:t>101.SCH</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sz w:val="20"/>
              </w:rPr>
            </w:pPr>
            <w:r>
              <w:rPr>
                <w:sz w:val="20"/>
              </w:rPr>
              <w:t>Inline XBRL Taxonomy Extension Schema</w:t>
            </w:r>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sz w:val="20"/>
              </w:rPr>
            </w:pPr>
            <w:r>
              <w:rPr>
                <w:sz w:val="20"/>
              </w:rPr>
              <w:t>(1)</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pPr>
            <w:r>
              <w:rPr/>
              <w:t> </w:t>
            </w:r>
          </w:p>
        </w:tc>
      </w:tr>
      <w:tr>
        <w:trPr/>
        <w:tc>
          <w:tcPr>
            <w:tcW w:w="708" w:type="dxa"/>
            <w:tcBorders/>
            <w:vAlign w:val="center"/>
          </w:tcPr>
          <w:p>
            <w:pPr>
              <w:pStyle w:val="TableContents"/>
              <w:bidi w:val="0"/>
              <w:spacing w:before="0" w:after="283"/>
              <w:jc w:val="left"/>
              <w:rPr>
                <w:sz w:val="20"/>
              </w:rPr>
            </w:pPr>
            <w:r>
              <w:rPr>
                <w:sz w:val="20"/>
              </w:rPr>
              <w:t>101.CAL</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sz w:val="20"/>
              </w:rPr>
            </w:pPr>
            <w:r>
              <w:rPr>
                <w:sz w:val="20"/>
              </w:rPr>
              <w:t>Inline XBRL Taxonomy Extension Calculation Linkbase</w:t>
            </w:r>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sz w:val="20"/>
              </w:rPr>
            </w:pPr>
            <w:r>
              <w:rPr>
                <w:sz w:val="20"/>
              </w:rPr>
              <w:t>(1)</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pPr>
            <w:r>
              <w:rPr/>
              <w:t> </w:t>
            </w:r>
          </w:p>
        </w:tc>
      </w:tr>
      <w:tr>
        <w:trPr/>
        <w:tc>
          <w:tcPr>
            <w:tcW w:w="708" w:type="dxa"/>
            <w:tcBorders/>
            <w:vAlign w:val="center"/>
          </w:tcPr>
          <w:p>
            <w:pPr>
              <w:pStyle w:val="TableContents"/>
              <w:bidi w:val="0"/>
              <w:spacing w:before="0" w:after="283"/>
              <w:jc w:val="left"/>
              <w:rPr>
                <w:sz w:val="20"/>
              </w:rPr>
            </w:pPr>
            <w:r>
              <w:rPr>
                <w:sz w:val="20"/>
              </w:rPr>
              <w:t>101.DEF</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sz w:val="20"/>
              </w:rPr>
            </w:pPr>
            <w:r>
              <w:rPr>
                <w:sz w:val="20"/>
              </w:rPr>
              <w:t>Inline XBRL Taxonomy Extension Definition Linkbase</w:t>
            </w:r>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sz w:val="20"/>
              </w:rPr>
            </w:pPr>
            <w:r>
              <w:rPr>
                <w:sz w:val="20"/>
              </w:rPr>
              <w:t>(1)</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pPr>
            <w:r>
              <w:rPr/>
              <w:t> </w:t>
            </w:r>
          </w:p>
        </w:tc>
      </w:tr>
      <w:tr>
        <w:trPr/>
        <w:tc>
          <w:tcPr>
            <w:tcW w:w="708" w:type="dxa"/>
            <w:tcBorders/>
            <w:shd w:fill="FFFFFF" w:val="clear"/>
            <w:vAlign w:val="center"/>
          </w:tcPr>
          <w:p>
            <w:pPr>
              <w:pStyle w:val="TableContents"/>
              <w:bidi w:val="0"/>
              <w:spacing w:before="0" w:after="283"/>
              <w:jc w:val="left"/>
              <w:rPr>
                <w:sz w:val="20"/>
              </w:rPr>
            </w:pPr>
            <w:r>
              <w:rPr>
                <w:sz w:val="20"/>
              </w:rPr>
              <w:t>101.LAB</w:t>
            </w:r>
          </w:p>
        </w:tc>
        <w:tc>
          <w:tcPr>
            <w:tcW w:w="60" w:type="dxa"/>
            <w:tcBorders/>
            <w:shd w:fill="FFFFFF" w:val="clear"/>
            <w:vAlign w:val="center"/>
          </w:tcPr>
          <w:p>
            <w:pPr>
              <w:pStyle w:val="TableContents"/>
              <w:bidi w:val="0"/>
              <w:spacing w:before="0" w:after="283"/>
              <w:jc w:val="left"/>
              <w:rPr/>
            </w:pPr>
            <w:r>
              <w:rPr/>
              <w:t> </w:t>
            </w:r>
          </w:p>
        </w:tc>
        <w:tc>
          <w:tcPr>
            <w:tcW w:w="6271" w:type="dxa"/>
            <w:tcBorders/>
            <w:shd w:fill="FFFFFF" w:val="clear"/>
            <w:vAlign w:val="center"/>
          </w:tcPr>
          <w:p>
            <w:pPr>
              <w:pStyle w:val="TableContents"/>
              <w:bidi w:val="0"/>
              <w:spacing w:before="0" w:after="283"/>
              <w:jc w:val="both"/>
              <w:rPr>
                <w:sz w:val="20"/>
              </w:rPr>
            </w:pPr>
            <w:r>
              <w:rPr>
                <w:sz w:val="20"/>
              </w:rPr>
              <w:t>Inline XBRL Taxonomy Extension Label Linkbase</w:t>
            </w:r>
          </w:p>
        </w:tc>
        <w:tc>
          <w:tcPr>
            <w:tcW w:w="6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center"/>
              <w:rPr>
                <w:sz w:val="20"/>
              </w:rPr>
            </w:pPr>
            <w:r>
              <w:rPr>
                <w:sz w:val="20"/>
              </w:rPr>
              <w:t>(1)</w:t>
            </w:r>
          </w:p>
        </w:tc>
        <w:tc>
          <w:tcPr>
            <w:tcW w:w="60"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center"/>
              <w:rPr/>
            </w:pPr>
            <w:r>
              <w:rPr/>
              <w:t> </w:t>
            </w:r>
          </w:p>
        </w:tc>
        <w:tc>
          <w:tcPr>
            <w:tcW w:w="62"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center"/>
              <w:rPr/>
            </w:pPr>
            <w:r>
              <w:rPr/>
              <w:t> </w:t>
            </w:r>
          </w:p>
        </w:tc>
        <w:tc>
          <w:tcPr>
            <w:tcW w:w="62"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center"/>
              <w:rPr/>
            </w:pPr>
            <w:r>
              <w:rPr/>
              <w:t> </w:t>
            </w:r>
          </w:p>
        </w:tc>
      </w:tr>
      <w:tr>
        <w:trPr/>
        <w:tc>
          <w:tcPr>
            <w:tcW w:w="708" w:type="dxa"/>
            <w:tcBorders/>
            <w:vAlign w:val="center"/>
          </w:tcPr>
          <w:p>
            <w:pPr>
              <w:pStyle w:val="TableContents"/>
              <w:bidi w:val="0"/>
              <w:spacing w:before="0" w:after="283"/>
              <w:jc w:val="left"/>
              <w:rPr>
                <w:sz w:val="20"/>
              </w:rPr>
            </w:pPr>
            <w:r>
              <w:rPr>
                <w:sz w:val="20"/>
              </w:rPr>
              <w:t>101.PRE</w:t>
            </w:r>
          </w:p>
        </w:tc>
        <w:tc>
          <w:tcPr>
            <w:tcW w:w="60" w:type="dxa"/>
            <w:tcBorders/>
            <w:vAlign w:val="center"/>
          </w:tcPr>
          <w:p>
            <w:pPr>
              <w:pStyle w:val="TableContents"/>
              <w:bidi w:val="0"/>
              <w:spacing w:before="0" w:after="283"/>
              <w:jc w:val="left"/>
              <w:rPr/>
            </w:pPr>
            <w:r>
              <w:rPr/>
              <w:t> </w:t>
            </w:r>
          </w:p>
        </w:tc>
        <w:tc>
          <w:tcPr>
            <w:tcW w:w="6271" w:type="dxa"/>
            <w:tcBorders/>
            <w:vAlign w:val="center"/>
          </w:tcPr>
          <w:p>
            <w:pPr>
              <w:pStyle w:val="TableContents"/>
              <w:bidi w:val="0"/>
              <w:spacing w:before="0" w:after="283"/>
              <w:jc w:val="both"/>
              <w:rPr>
                <w:sz w:val="20"/>
              </w:rPr>
            </w:pPr>
            <w:r>
              <w:rPr>
                <w:sz w:val="20"/>
              </w:rPr>
              <w:t>Inline XBRL Taxonomy Extension Presentation Linkbase</w:t>
            </w:r>
          </w:p>
        </w:tc>
        <w:tc>
          <w:tcPr>
            <w:tcW w:w="60" w:type="dxa"/>
            <w:tcBorders/>
            <w:vAlign w:val="center"/>
          </w:tcPr>
          <w:p>
            <w:pPr>
              <w:pStyle w:val="TableContents"/>
              <w:bidi w:val="0"/>
              <w:spacing w:before="0" w:after="283"/>
              <w:jc w:val="left"/>
              <w:rPr/>
            </w:pPr>
            <w:r>
              <w:rPr/>
              <w:t> </w:t>
            </w:r>
          </w:p>
        </w:tc>
        <w:tc>
          <w:tcPr>
            <w:tcW w:w="1054" w:type="dxa"/>
            <w:tcBorders/>
            <w:vAlign w:val="center"/>
          </w:tcPr>
          <w:p>
            <w:pPr>
              <w:pStyle w:val="TableContents"/>
              <w:bidi w:val="0"/>
              <w:spacing w:before="0" w:after="283"/>
              <w:jc w:val="center"/>
              <w:rPr>
                <w:sz w:val="20"/>
              </w:rPr>
            </w:pPr>
            <w:r>
              <w:rPr>
                <w:sz w:val="20"/>
              </w:rPr>
              <w:t>(1)</w:t>
            </w:r>
          </w:p>
        </w:tc>
        <w:tc>
          <w:tcPr>
            <w:tcW w:w="60" w:type="dxa"/>
            <w:tcBorders/>
            <w:vAlign w:val="center"/>
          </w:tcPr>
          <w:p>
            <w:pPr>
              <w:pStyle w:val="TableContents"/>
              <w:bidi w:val="0"/>
              <w:spacing w:before="0" w:after="283"/>
              <w:jc w:val="left"/>
              <w:rPr/>
            </w:pPr>
            <w:r>
              <w:rPr/>
              <w:t> </w:t>
            </w:r>
          </w:p>
        </w:tc>
        <w:tc>
          <w:tcPr>
            <w:tcW w:w="521"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7" w:type="dxa"/>
            <w:tcBorders/>
            <w:vAlign w:val="center"/>
          </w:tcPr>
          <w:p>
            <w:pPr>
              <w:pStyle w:val="TableContents"/>
              <w:bidi w:val="0"/>
              <w:spacing w:before="0" w:after="283"/>
              <w:jc w:val="center"/>
              <w:rPr/>
            </w:pPr>
            <w:r>
              <w:rPr/>
              <w:t> </w:t>
            </w:r>
          </w:p>
        </w:tc>
        <w:tc>
          <w:tcPr>
            <w:tcW w:w="62" w:type="dxa"/>
            <w:tcBorders/>
            <w:vAlign w:val="center"/>
          </w:tcPr>
          <w:p>
            <w:pPr>
              <w:pStyle w:val="TableContents"/>
              <w:bidi w:val="0"/>
              <w:spacing w:before="0" w:after="283"/>
              <w:jc w:val="left"/>
              <w:rPr/>
            </w:pPr>
            <w:r>
              <w:rPr/>
              <w:t> </w:t>
            </w:r>
          </w:p>
        </w:tc>
        <w:tc>
          <w:tcPr>
            <w:tcW w:w="670" w:type="dxa"/>
            <w:tcBorders/>
            <w:vAlign w:val="center"/>
          </w:tcPr>
          <w:p>
            <w:pPr>
              <w:pStyle w:val="TableContents"/>
              <w:bidi w:val="0"/>
              <w:spacing w:before="0" w:after="283"/>
              <w:jc w:val="center"/>
              <w:rPr/>
            </w:pPr>
            <w:r>
              <w:rPr/>
              <w:t> </w:t>
            </w:r>
          </w:p>
        </w:tc>
      </w:tr>
      <w:tr>
        <w:trPr/>
        <w:tc>
          <w:tcPr>
            <w:tcW w:w="708" w:type="dxa"/>
            <w:tcBorders/>
            <w:shd w:fill="FFFFFF" w:val="clear"/>
            <w:vAlign w:val="center"/>
          </w:tcPr>
          <w:p>
            <w:pPr>
              <w:pStyle w:val="TableContents"/>
              <w:bidi w:val="0"/>
              <w:spacing w:before="0" w:after="283"/>
              <w:jc w:val="left"/>
              <w:rPr>
                <w:sz w:val="20"/>
              </w:rPr>
            </w:pPr>
            <w:r>
              <w:rPr>
                <w:sz w:val="20"/>
              </w:rPr>
              <w:t>104</w:t>
            </w:r>
          </w:p>
        </w:tc>
        <w:tc>
          <w:tcPr>
            <w:tcW w:w="60" w:type="dxa"/>
            <w:tcBorders/>
            <w:shd w:fill="FFFFFF" w:val="clear"/>
            <w:vAlign w:val="center"/>
          </w:tcPr>
          <w:p>
            <w:pPr>
              <w:pStyle w:val="TableContents"/>
              <w:bidi w:val="0"/>
              <w:spacing w:before="0" w:after="283"/>
              <w:jc w:val="left"/>
              <w:rPr/>
            </w:pPr>
            <w:r>
              <w:rPr/>
              <w:t> </w:t>
            </w:r>
          </w:p>
        </w:tc>
        <w:tc>
          <w:tcPr>
            <w:tcW w:w="6271" w:type="dxa"/>
            <w:tcBorders/>
            <w:shd w:fill="FFFFFF" w:val="clear"/>
            <w:vAlign w:val="center"/>
          </w:tcPr>
          <w:p>
            <w:pPr>
              <w:pStyle w:val="TableContents"/>
              <w:bidi w:val="0"/>
              <w:spacing w:before="0" w:after="283"/>
              <w:jc w:val="both"/>
              <w:rPr>
                <w:sz w:val="20"/>
              </w:rPr>
            </w:pPr>
            <w:r>
              <w:rPr>
                <w:sz w:val="20"/>
              </w:rPr>
              <w:t>Cover Page Interactive Data File (formatted as inline XBRL and contained in Exhibit 101).</w:t>
            </w:r>
          </w:p>
        </w:tc>
        <w:tc>
          <w:tcPr>
            <w:tcW w:w="60"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center"/>
              <w:rPr>
                <w:sz w:val="20"/>
              </w:rPr>
            </w:pPr>
            <w:r>
              <w:rPr>
                <w:sz w:val="20"/>
              </w:rPr>
              <w:t>(1)</w:t>
            </w:r>
          </w:p>
        </w:tc>
        <w:tc>
          <w:tcPr>
            <w:tcW w:w="60" w:type="dxa"/>
            <w:tcBorders/>
            <w:shd w:fill="FFFFFF" w:val="clear"/>
            <w:vAlign w:val="center"/>
          </w:tcPr>
          <w:p>
            <w:pPr>
              <w:pStyle w:val="TableContents"/>
              <w:bidi w:val="0"/>
              <w:spacing w:before="0" w:after="283"/>
              <w:jc w:val="left"/>
              <w:rPr/>
            </w:pPr>
            <w:r>
              <w:rPr/>
              <w:t> </w:t>
            </w:r>
          </w:p>
        </w:tc>
        <w:tc>
          <w:tcPr>
            <w:tcW w:w="521" w:type="dxa"/>
            <w:tcBorders/>
            <w:shd w:fill="FFFFFF" w:val="clear"/>
            <w:vAlign w:val="center"/>
          </w:tcPr>
          <w:p>
            <w:pPr>
              <w:pStyle w:val="TableContents"/>
              <w:bidi w:val="0"/>
              <w:spacing w:before="0" w:after="283"/>
              <w:jc w:val="center"/>
              <w:rPr/>
            </w:pPr>
            <w:r>
              <w:rPr/>
              <w:t> </w:t>
            </w:r>
          </w:p>
        </w:tc>
        <w:tc>
          <w:tcPr>
            <w:tcW w:w="62" w:type="dxa"/>
            <w:tcBorders/>
            <w:shd w:fill="FFFFFF" w:val="clear"/>
            <w:vAlign w:val="center"/>
          </w:tcPr>
          <w:p>
            <w:pPr>
              <w:pStyle w:val="TableContents"/>
              <w:bidi w:val="0"/>
              <w:spacing w:before="0" w:after="283"/>
              <w:jc w:val="left"/>
              <w:rPr/>
            </w:pPr>
            <w:r>
              <w:rPr/>
              <w:t> </w:t>
            </w:r>
          </w:p>
        </w:tc>
        <w:tc>
          <w:tcPr>
            <w:tcW w:w="677" w:type="dxa"/>
            <w:tcBorders/>
            <w:shd w:fill="FFFFFF" w:val="clear"/>
            <w:vAlign w:val="center"/>
          </w:tcPr>
          <w:p>
            <w:pPr>
              <w:pStyle w:val="TableContents"/>
              <w:bidi w:val="0"/>
              <w:spacing w:before="0" w:after="283"/>
              <w:jc w:val="center"/>
              <w:rPr/>
            </w:pPr>
            <w:r>
              <w:rPr/>
              <w:t> </w:t>
            </w:r>
          </w:p>
        </w:tc>
        <w:tc>
          <w:tcPr>
            <w:tcW w:w="62" w:type="dxa"/>
            <w:tcBorders/>
            <w:shd w:fill="FFFFFF" w:val="clear"/>
            <w:vAlign w:val="center"/>
          </w:tcPr>
          <w:p>
            <w:pPr>
              <w:pStyle w:val="TableContents"/>
              <w:bidi w:val="0"/>
              <w:spacing w:before="0" w:after="283"/>
              <w:jc w:val="left"/>
              <w:rPr/>
            </w:pPr>
            <w:r>
              <w:rPr/>
              <w:t> </w:t>
            </w:r>
          </w:p>
        </w:tc>
        <w:tc>
          <w:tcPr>
            <w:tcW w:w="670" w:type="dxa"/>
            <w:tcBorders/>
            <w:shd w:fill="FFFFFF" w:val="clear"/>
            <w:vAlign w:val="center"/>
          </w:tcPr>
          <w:p>
            <w:pPr>
              <w:pStyle w:val="TableContents"/>
              <w:bidi w:val="0"/>
              <w:spacing w:before="0" w:after="283"/>
              <w:jc w:val="center"/>
              <w:rPr/>
            </w:pPr>
            <w:r>
              <w:rPr/>
              <w:t> </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8"/>
        <w:gridCol w:w="9977"/>
      </w:tblGrid>
      <w:tr>
        <w:trPr/>
        <w:tc>
          <w:tcPr>
            <w:tcW w:w="228" w:type="dxa"/>
            <w:tcBorders/>
            <w:vAlign w:val="center"/>
          </w:tcPr>
          <w:p>
            <w:pPr>
              <w:pStyle w:val="TableContents"/>
              <w:bidi w:val="0"/>
              <w:spacing w:before="0" w:after="283"/>
              <w:jc w:val="left"/>
              <w:rPr>
                <w:sz w:val="20"/>
              </w:rPr>
            </w:pPr>
            <w:r>
              <w:rPr>
                <w:sz w:val="20"/>
              </w:rPr>
              <w:t>+</w:t>
            </w:r>
          </w:p>
        </w:tc>
        <w:tc>
          <w:tcPr>
            <w:tcW w:w="9977" w:type="dxa"/>
            <w:tcBorders/>
            <w:vAlign w:val="center"/>
          </w:tcPr>
          <w:p>
            <w:pPr>
              <w:pStyle w:val="TableContents"/>
              <w:bidi w:val="0"/>
              <w:spacing w:before="0" w:after="283"/>
              <w:jc w:val="both"/>
              <w:rPr>
                <w:sz w:val="20"/>
              </w:rPr>
            </w:pPr>
            <w:r>
              <w:rPr>
                <w:sz w:val="20"/>
              </w:rPr>
              <w:t>Certain schedules, appendices and exhibits to this agreement have been omitted in accordance with Item 601(b)(2) of Regulation S-K. A copy of any omitted schedule and/or exhibit will be furnished supplementally to the SEC Staff upon request.</w:t>
            </w:r>
          </w:p>
        </w:tc>
      </w:tr>
      <w:tr>
        <w:trPr/>
        <w:tc>
          <w:tcPr>
            <w:tcW w:w="228" w:type="dxa"/>
            <w:tcBorders/>
            <w:vAlign w:val="center"/>
          </w:tcPr>
          <w:p>
            <w:pPr>
              <w:pStyle w:val="TableContents"/>
              <w:bidi w:val="0"/>
              <w:spacing w:before="0" w:after="283"/>
              <w:jc w:val="left"/>
              <w:rPr>
                <w:sz w:val="20"/>
              </w:rPr>
            </w:pPr>
            <w:r>
              <w:rPr>
                <w:sz w:val="20"/>
              </w:rPr>
              <w:t xml:space="preserve"># </w:t>
            </w:r>
          </w:p>
        </w:tc>
        <w:tc>
          <w:tcPr>
            <w:tcW w:w="9977" w:type="dxa"/>
            <w:tcBorders/>
            <w:vAlign w:val="center"/>
          </w:tcPr>
          <w:p>
            <w:pPr>
              <w:pStyle w:val="TableContents"/>
              <w:bidi w:val="0"/>
              <w:spacing w:before="0" w:after="283"/>
              <w:jc w:val="both"/>
              <w:rPr>
                <w:sz w:val="20"/>
              </w:rPr>
            </w:pPr>
            <w:r>
              <w:rPr>
                <w:sz w:val="20"/>
              </w:rPr>
              <w:t>Indicates management contract or compensatory plan, contract or agreement.</w:t>
            </w:r>
          </w:p>
        </w:tc>
      </w:tr>
      <w:tr>
        <w:trPr/>
        <w:tc>
          <w:tcPr>
            <w:tcW w:w="228" w:type="dxa"/>
            <w:tcBorders/>
            <w:vAlign w:val="center"/>
          </w:tcPr>
          <w:p>
            <w:pPr>
              <w:pStyle w:val="TableContents"/>
              <w:bidi w:val="0"/>
              <w:spacing w:before="0" w:after="283"/>
              <w:jc w:val="left"/>
              <w:rPr>
                <w:sz w:val="20"/>
              </w:rPr>
            </w:pPr>
            <w:r>
              <w:rPr>
                <w:sz w:val="20"/>
              </w:rPr>
              <w:t>(1)</w:t>
            </w:r>
          </w:p>
        </w:tc>
        <w:tc>
          <w:tcPr>
            <w:tcW w:w="9977" w:type="dxa"/>
            <w:tcBorders/>
            <w:vAlign w:val="center"/>
          </w:tcPr>
          <w:p>
            <w:pPr>
              <w:pStyle w:val="TableContents"/>
              <w:bidi w:val="0"/>
              <w:spacing w:before="0" w:after="283"/>
              <w:jc w:val="both"/>
              <w:rPr>
                <w:sz w:val="20"/>
              </w:rPr>
            </w:pPr>
            <w:r>
              <w:rPr>
                <w:sz w:val="20"/>
              </w:rPr>
              <w:t>Filed herein</w:t>
            </w:r>
          </w:p>
        </w:tc>
      </w:tr>
      <w:tr>
        <w:trPr/>
        <w:tc>
          <w:tcPr>
            <w:tcW w:w="228" w:type="dxa"/>
            <w:tcBorders/>
            <w:vAlign w:val="center"/>
          </w:tcPr>
          <w:p>
            <w:pPr>
              <w:pStyle w:val="TableContents"/>
              <w:bidi w:val="0"/>
              <w:spacing w:before="0" w:after="283"/>
              <w:jc w:val="left"/>
              <w:rPr>
                <w:sz w:val="20"/>
              </w:rPr>
            </w:pPr>
            <w:r>
              <w:rPr>
                <w:sz w:val="20"/>
              </w:rPr>
              <w:t>(2)</w:t>
            </w:r>
          </w:p>
        </w:tc>
        <w:tc>
          <w:tcPr>
            <w:tcW w:w="9977" w:type="dxa"/>
            <w:tcBorders/>
            <w:vAlign w:val="center"/>
          </w:tcPr>
          <w:p>
            <w:pPr>
              <w:pStyle w:val="TableContents"/>
              <w:bidi w:val="0"/>
              <w:spacing w:before="0" w:after="283"/>
              <w:jc w:val="both"/>
              <w:rPr>
                <w:sz w:val="20"/>
              </w:rPr>
            </w:pPr>
            <w:r>
              <w:rPr>
                <w:sz w:val="20"/>
              </w:rPr>
              <w:t>Furnished herein.</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88" w:name="q2_019"/>
      <w:bookmarkEnd w:id="688"/>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center"/>
        <w:rPr>
          <w:caps w:val="false"/>
          <w:smallCaps w:val="false"/>
        </w:rPr>
      </w:pPr>
      <w:r>
        <w:rPr>
          <w:caps w:val="false"/>
          <w:smallCaps w:val="false"/>
        </w:rPr>
        <w:t> </w:t>
      </w:r>
    </w:p>
    <w:tbl>
      <w:tblPr>
        <w:tblW w:w="5655" w:type="dxa"/>
        <w:jc w:val="left"/>
        <w:tblInd w:w="0" w:type="dxa"/>
        <w:tblLayout w:type="fixed"/>
        <w:tblCellMar>
          <w:top w:w="0" w:type="dxa"/>
          <w:left w:w="0" w:type="dxa"/>
          <w:bottom w:w="0" w:type="dxa"/>
          <w:right w:w="0" w:type="dxa"/>
        </w:tblCellMar>
      </w:tblPr>
      <w:tblGrid>
        <w:gridCol w:w="1385"/>
        <w:gridCol w:w="365"/>
        <w:gridCol w:w="3905"/>
      </w:tblGrid>
      <w:tr>
        <w:trPr/>
        <w:tc>
          <w:tcPr>
            <w:tcW w:w="1385" w:type="dxa"/>
            <w:tcBorders/>
            <w:vAlign w:val="center"/>
          </w:tcPr>
          <w:p>
            <w:pPr>
              <w:pStyle w:val="TableContents"/>
              <w:bidi w:val="0"/>
              <w:spacing w:before="0" w:after="283"/>
              <w:jc w:val="left"/>
              <w:rPr/>
            </w:pPr>
            <w:r>
              <w:rPr/>
              <w:t> </w:t>
            </w:r>
          </w:p>
        </w:tc>
        <w:tc>
          <w:tcPr>
            <w:tcW w:w="4270" w:type="dxa"/>
            <w:gridSpan w:val="2"/>
            <w:tcBorders/>
            <w:vAlign w:val="center"/>
          </w:tcPr>
          <w:p>
            <w:pPr>
              <w:pStyle w:val="TableContents"/>
              <w:bidi w:val="0"/>
              <w:spacing w:before="0" w:after="283"/>
              <w:jc w:val="both"/>
              <w:rPr>
                <w:b/>
                <w:sz w:val="20"/>
              </w:rPr>
            </w:pPr>
            <w:r>
              <w:rPr>
                <w:b/>
                <w:sz w:val="20"/>
              </w:rPr>
              <w:t>ZAPATA QUANTUM, INC.</w:t>
            </w:r>
          </w:p>
        </w:tc>
      </w:tr>
      <w:tr>
        <w:trPr/>
        <w:tc>
          <w:tcPr>
            <w:tcW w:w="1385" w:type="dxa"/>
            <w:tcBorders/>
            <w:vAlign w:val="center"/>
          </w:tcPr>
          <w:p>
            <w:pPr>
              <w:pStyle w:val="TableContents"/>
              <w:bidi w:val="0"/>
              <w:spacing w:before="0" w:after="283"/>
              <w:jc w:val="left"/>
              <w:rPr/>
            </w:pPr>
            <w:r>
              <w:rPr/>
              <w:t> </w:t>
            </w:r>
          </w:p>
        </w:tc>
        <w:tc>
          <w:tcPr>
            <w:tcW w:w="4270" w:type="dxa"/>
            <w:gridSpan w:val="2"/>
            <w:tcBorders/>
            <w:vAlign w:val="center"/>
          </w:tcPr>
          <w:p>
            <w:pPr>
              <w:pStyle w:val="TableContents"/>
              <w:bidi w:val="0"/>
              <w:spacing w:before="0" w:after="283"/>
              <w:jc w:val="both"/>
              <w:rPr/>
            </w:pPr>
            <w:r>
              <w:rPr/>
              <w:t> </w:t>
            </w:r>
          </w:p>
        </w:tc>
      </w:tr>
      <w:tr>
        <w:trPr/>
        <w:tc>
          <w:tcPr>
            <w:tcW w:w="1385" w:type="dxa"/>
            <w:tcBorders/>
            <w:vAlign w:val="center"/>
          </w:tcPr>
          <w:p>
            <w:pPr>
              <w:pStyle w:val="TableContents"/>
              <w:bidi w:val="0"/>
              <w:spacing w:before="0" w:after="283"/>
              <w:jc w:val="left"/>
              <w:rPr>
                <w:sz w:val="20"/>
              </w:rPr>
            </w:pPr>
            <w:r>
              <w:rPr>
                <w:sz w:val="20"/>
              </w:rPr>
              <w:t>August 14, 2026</w:t>
            </w:r>
          </w:p>
        </w:tc>
        <w:tc>
          <w:tcPr>
            <w:tcW w:w="365" w:type="dxa"/>
            <w:tcBorders/>
            <w:vAlign w:val="center"/>
          </w:tcPr>
          <w:p>
            <w:pPr>
              <w:pStyle w:val="TableContents"/>
              <w:bidi w:val="0"/>
              <w:spacing w:before="0" w:after="283"/>
              <w:jc w:val="both"/>
              <w:rPr>
                <w:sz w:val="20"/>
              </w:rPr>
            </w:pPr>
            <w:r>
              <w:rPr>
                <w:sz w:val="20"/>
              </w:rPr>
              <w:t xml:space="preserve">By: </w:t>
            </w:r>
          </w:p>
        </w:tc>
        <w:tc>
          <w:tcPr>
            <w:tcW w:w="3905" w:type="dxa"/>
            <w:tcBorders>
              <w:bottom w:val="single" w:sz="8" w:space="0" w:color="000000"/>
            </w:tcBorders>
            <w:tcMar>
              <w:bottom w:w="28" w:type="dxa"/>
            </w:tcMar>
            <w:vAlign w:val="center"/>
          </w:tcPr>
          <w:p>
            <w:pPr>
              <w:pStyle w:val="TableContents"/>
              <w:bidi w:val="0"/>
              <w:spacing w:before="0" w:after="283"/>
              <w:jc w:val="both"/>
              <w:rPr>
                <w:i/>
                <w:sz w:val="20"/>
              </w:rPr>
            </w:pPr>
            <w:r>
              <w:rPr>
                <w:i/>
                <w:sz w:val="20"/>
              </w:rPr>
              <w:t>/s/ Sumit Kapur</w:t>
            </w:r>
          </w:p>
        </w:tc>
      </w:tr>
      <w:tr>
        <w:trPr/>
        <w:tc>
          <w:tcPr>
            <w:tcW w:w="138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3905" w:type="dxa"/>
            <w:tcBorders/>
            <w:vAlign w:val="center"/>
          </w:tcPr>
          <w:p>
            <w:pPr>
              <w:pStyle w:val="TableContents"/>
              <w:bidi w:val="0"/>
              <w:spacing w:before="0" w:after="283"/>
              <w:jc w:val="both"/>
              <w:rPr>
                <w:sz w:val="20"/>
              </w:rPr>
            </w:pPr>
            <w:r>
              <w:rPr>
                <w:sz w:val="20"/>
              </w:rPr>
              <w:t>Sumit Kapur</w:t>
            </w:r>
          </w:p>
        </w:tc>
      </w:tr>
      <w:tr>
        <w:trPr/>
        <w:tc>
          <w:tcPr>
            <w:tcW w:w="138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3905" w:type="dxa"/>
            <w:tcBorders/>
            <w:vAlign w:val="center"/>
          </w:tcPr>
          <w:p>
            <w:pPr>
              <w:pStyle w:val="TableContents"/>
              <w:bidi w:val="0"/>
              <w:spacing w:before="0" w:after="283"/>
              <w:jc w:val="both"/>
              <w:rPr>
                <w:sz w:val="20"/>
              </w:rPr>
            </w:pPr>
            <w:r>
              <w:rPr>
                <w:sz w:val="20"/>
              </w:rPr>
              <w:t>Chief Executive Officer, Chief Financial Officer</w:t>
            </w:r>
          </w:p>
        </w:tc>
      </w:tr>
      <w:tr>
        <w:trPr/>
        <w:tc>
          <w:tcPr>
            <w:tcW w:w="138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both"/>
              <w:rPr/>
            </w:pPr>
            <w:r>
              <w:rPr/>
              <w:t> </w:t>
            </w:r>
          </w:p>
        </w:tc>
        <w:tc>
          <w:tcPr>
            <w:tcW w:w="3905" w:type="dxa"/>
            <w:tcBorders/>
            <w:vAlign w:val="center"/>
          </w:tcPr>
          <w:p>
            <w:pPr>
              <w:pStyle w:val="TableContents"/>
              <w:bidi w:val="0"/>
              <w:spacing w:before="0" w:after="283"/>
              <w:jc w:val="both"/>
              <w:rPr>
                <w:sz w:val="20"/>
              </w:rPr>
            </w:pPr>
            <w:r>
              <w:rPr>
                <w:sz w:val="20"/>
              </w:rPr>
              <w:t>(Principal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89" w:name="zapata_ex1012.htm"/>
      <w:bookmarkStart w:id="690" w:name="kszapata_ex1012"/>
      <w:bookmarkEnd w:id="689"/>
      <w:bookmarkEnd w:id="690"/>
      <w:r>
        <w:rPr>
          <w:rFonts w:ascii="Times New Roman;Times;Serif" w:hAnsi="Times New Roman;Times;Serif"/>
          <w:b/>
          <w:i w:val="false"/>
          <w:caps w:val="false"/>
          <w:smallCaps w:val="false"/>
          <w:sz w:val="20"/>
        </w:rPr>
        <w:t>Exhibit 10.12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EXCLUSIVE BROKER-DEALER AND LEAK-OUT MANAGEMENT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Exclusive Broker-Dealer and Leak-Out Management Agreement (this “Agreement”) is made and entered into as of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of July, 2026 between Chardan Capital Markets LLC (“</w:t>
      </w:r>
      <w:r>
        <w:rPr>
          <w:rFonts w:ascii="Times New Roman;Times;Serif" w:hAnsi="Times New Roman;Times;Serif"/>
          <w:b w:val="false"/>
          <w:i w:val="false"/>
          <w:caps w:val="false"/>
          <w:smallCaps w:val="false"/>
          <w:sz w:val="20"/>
          <w:u w:val="single"/>
        </w:rPr>
        <w:t>Broker-Dealer</w:t>
      </w:r>
      <w:r>
        <w:rPr>
          <w:rFonts w:ascii="Times New Roman;Times;Serif" w:hAnsi="Times New Roman;Times;Serif"/>
          <w:b w:val="false"/>
          <w:i w:val="false"/>
          <w:caps w:val="false"/>
          <w:smallCaps w:val="false"/>
          <w:sz w:val="20"/>
        </w:rPr>
        <w:t>”) and Zapata Quantum Inc.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which term includes any subsidiary of the Company that Broker-Dealer has agreed in writing to include within the scope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each of the sellers as listed hereto on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(each, a “</w:t>
      </w:r>
      <w:r>
        <w:rPr>
          <w:rFonts w:ascii="Times New Roman;Times;Serif" w:hAnsi="Times New Roman;Times;Serif"/>
          <w:b w:val="false"/>
          <w:i w:val="false"/>
          <w:caps w:val="false"/>
          <w:smallCaps w:val="false"/>
          <w:sz w:val="20"/>
          <w:u w:val="single"/>
        </w:rPr>
        <w:t>Seller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Sellers</w:t>
      </w:r>
      <w:r>
        <w:rPr>
          <w:rFonts w:ascii="Times New Roman;Times;Serif" w:hAnsi="Times New Roman;Times;Serif"/>
          <w:b w:val="false"/>
          <w:i w:val="false"/>
          <w:caps w:val="false"/>
          <w:smallCaps w:val="false"/>
          <w:sz w:val="20"/>
        </w:rPr>
        <w:t xml:space="preserve">”) is bound by Universal Resale and Registration Provisions attached as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hereto (together referred to herein as the “</w:t>
      </w:r>
      <w:r>
        <w:rPr>
          <w:rFonts w:ascii="Times New Roman;Times;Serif" w:hAnsi="Times New Roman;Times;Serif"/>
          <w:b w:val="false"/>
          <w:i w:val="false"/>
          <w:caps w:val="false"/>
          <w:smallCaps w:val="false"/>
          <w:sz w:val="20"/>
          <w:u w:val="single"/>
        </w:rPr>
        <w:t>Leak-Out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Company wishes to engage Broker-Dealer as the exclusive broker-dealer and management agent to sell up to 309,000,000 shares of the Company’s common stock (the “</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and, such shares, the “</w:t>
      </w:r>
      <w:r>
        <w:rPr>
          <w:rFonts w:ascii="Times New Roman;Times;Serif" w:hAnsi="Times New Roman;Times;Serif"/>
          <w:b w:val="false"/>
          <w:i w:val="false"/>
          <w:caps w:val="false"/>
          <w:smallCaps w:val="false"/>
          <w:sz w:val="20"/>
          <w:u w:val="single"/>
        </w:rPr>
        <w:t>Restricted Shares</w:t>
      </w:r>
      <w:r>
        <w:rPr>
          <w:rFonts w:ascii="Times New Roman;Times;Serif" w:hAnsi="Times New Roman;Times;Serif"/>
          <w:b w:val="false"/>
          <w:i w:val="false"/>
          <w:caps w:val="false"/>
          <w:smallCaps w:val="false"/>
          <w:sz w:val="20"/>
        </w:rPr>
        <w:t>”) held by the Sellers in accordance with the Leak-Out Agreement;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promises made herein and for good and valuable consideration, the receipt and sufficiency of which are hereby acknowledged, the parties hereto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Engagement</w:t>
      </w:r>
      <w:r>
        <w:rPr>
          <w:rFonts w:ascii="Times New Roman;Times;Serif" w:hAnsi="Times New Roman;Times;Serif"/>
          <w:b w:val="false"/>
          <w:i w:val="false"/>
          <w:caps w:val="false"/>
          <w:smallCaps w:val="false"/>
          <w:sz w:val="20"/>
        </w:rPr>
        <w:t>. The Company hereby engages Broker-Dealer, and Broker-Dealer agrees to act as the exclusive broker-dealer in order to manage the orderly liquidation and sale of the Restricted Shares held by Sellers. Broker-Dealer acknowledges and agrees that all sales of Restricted Shares pursuant to this Agreement shall adhere strictly to the Leak-Out Agreement and that the exclusivity relates solely to the sales of the Restricted Shares as provided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Compensation, Commission and Fees</w:t>
      </w:r>
      <w:r>
        <w:rPr>
          <w:rFonts w:ascii="Times New Roman;Times;Serif" w:hAnsi="Times New Roman;Times;Serif"/>
          <w:b w:val="false"/>
          <w:i w:val="false"/>
          <w:caps w:val="false"/>
          <w:smallCaps w:val="false"/>
          <w:sz w:val="20"/>
        </w:rPr>
        <w:t>. As consideration for the brokerage, monitoring, and compliance management services provided by Broker-Dealer, the parties agree to the following fees and commissions: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Sales Commission</w:t>
      </w:r>
      <w:r>
        <w:rPr>
          <w:rFonts w:ascii="Times New Roman;Times;Serif" w:hAnsi="Times New Roman;Times;Serif"/>
          <w:b w:val="false"/>
          <w:i w:val="false"/>
          <w:caps w:val="false"/>
          <w:smallCaps w:val="false"/>
          <w:sz w:val="20"/>
        </w:rPr>
        <w:t>: Broker-Dealer is authorized, with the applicable Seller’s approval, to charge such Seller a cash commission equal to four percent (4%) of the gross sale proceeds realized from the sale of such Seller’s Restricted Shares sold under this Agreement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provided, that, upon the aggregate Commissions received by Broker-Dealer under this Agreement reaching two hundred thousand dollars ($200,000), the Commission rate shall automatically reduce to three percent (3%) of the gross sale proceeds for all subsequent sales. Upon Seller’s approval of the Commission, Broker-Dealer is authorized to automatically deduct the Commission from the settlement proceeds of each transaction prior to remitting the net proceeds to such Seller.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Leak-Out Orderly Trading Mechanics</w:t>
      </w:r>
      <w:r>
        <w:rPr>
          <w:rFonts w:ascii="Times New Roman;Times;Serif" w:hAnsi="Times New Roman;Times;Serif"/>
          <w:b w:val="false"/>
          <w:i w:val="false"/>
          <w:caps w:val="false"/>
          <w:smallCaps w:val="false"/>
          <w:sz w:val="20"/>
        </w:rPr>
        <w:t>. Broker-Dealer shall execute sales of the Restricted Shares in accordance with the terms of the Leak-Out Agreement. Unless otherwise agreed in writing by the Company and Broker-Dealer, all sale orders received for a given trading day shall be aggregated, and Broker-Dealer shall allocate executions among Sellers on a pro rata basis in accordance with the Leak-Out Agreement. Each Seller may, by written notice to Broker-Dealer, establish a standing instruction authorizing Broker-Dealer to include such Seller’s share of available daily volume (as determined in accordance with the Leak-Out Agreement) in each trading day’s aggregated order on an ongoing basis (a “</w:t>
      </w:r>
      <w:r>
        <w:rPr>
          <w:rFonts w:ascii="Times New Roman;Times;Serif" w:hAnsi="Times New Roman;Times;Serif"/>
          <w:b w:val="false"/>
          <w:i w:val="false"/>
          <w:caps w:val="false"/>
          <w:smallCaps w:val="false"/>
          <w:sz w:val="20"/>
          <w:u w:val="single"/>
        </w:rPr>
        <w:t>Standing Sell Order</w:t>
      </w:r>
      <w:r>
        <w:rPr>
          <w:rFonts w:ascii="Times New Roman;Times;Serif" w:hAnsi="Times New Roman;Times;Serif"/>
          <w:b w:val="false"/>
          <w:i w:val="false"/>
          <w:caps w:val="false"/>
          <w:smallCaps w:val="false"/>
          <w:sz w:val="20"/>
        </w:rPr>
        <w:t>”). A Standing Sell Order shall remain in effect until revoked by written notice from the applicable Seller received by Broker-Dealer no later than 4:00 p.m. Eastern Time on the trading day prior to the trading day on which such revocation is to take effect. For so long as the Common Stock is not listed on a national securities exchange, Broker-Dealer shall use reasonable efforts to execute such aggregated orders throughout the trading day seeking the best available price consistent with orderly trading and in a manner which seeks to approximate a volume-weighted average price methodology, incorporating a five percent (5%) price protection limit measured from the prior trading day’s closing price, to the extent reasonably practicable in light of available liquidity, trading volume and other market conditions. If and when the Common Stock becomes listed on a national securities exchange, Broker-Dealer shall, in the absence of unusual trading activity or market developments, seek to execute such aggregated orders in a manner reasonably similar to a volume-weighted average price methodology, incorporating a five percent (5%) price protection limit measured from the prior trading day’s closing price. In either case, each Seller shall receive the actual weighted average execution price achieved by Broker-Dealer for such Seller’s pro rata share of the aggregated orders on the applicable trading day, less the Commission. Notwithstanding anything in this Section 3, Broker-Dealer shall have no obligation to effect any sale of Restricted Shares on any trading day if, in Broker-Dealer’s reasonable judgment, (a) effecting such sale would violate or be inconsistent with any applicable law, rule or regulation, Broker-Dealer’s duty of best execution or any internal compliance policy applicable to Broker-Dealer, (b) market conditions (including unusually low trading volume, excessive price volatility or the absence of reliable pricing) are such that execution would not be consistent with orderly trading or the protection of Sellers, or (c) such sale cannot be effected due to a suspension or limitation of trading, a trading halt or similar market disruption. Broker-Dealer shall promptly notify the Company if it declines to effect sales pursuant to this provision.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Company Representations</w:t>
      </w:r>
      <w:r>
        <w:rPr>
          <w:rFonts w:ascii="Times New Roman;Times;Serif" w:hAnsi="Times New Roman;Times;Serif"/>
          <w:b w:val="false"/>
          <w:i w:val="false"/>
          <w:caps w:val="false"/>
          <w:smallCaps w:val="false"/>
          <w:sz w:val="20"/>
        </w:rPr>
        <w:t>. The Company hereby represents, warrants, and covenants to Broker-Dealer that, as of the date hereof and on each date on which Broker-Dealer executes a sale of Restricted Shares hereunder: (a) Sellers are bound by the Leak-Out Agreement to route one-hundred percent (100%) of their trades of Restricted Shares exclusively through Broker-Dealer’s designated trading desk during the Lock-Up Period (as defined in the Leak-Out Agreement); (b) each Leak-Out Agreement is valid, binding and enforceable against the applicable Seller in accordance with its terms; (c) the Restricted Shares have been duly authorized, validly issued and are fully paid and non-assessable; (d) the Company is current in its reporting obligations under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(e) the Company has all necessary corporate power and authority to enter into and perform its obligations under this Agreement and the execution, delivery and performance of this Agreement have been duly authorized by all necessary corporate action; (f) the Company will (i) promptly notify Broker-Dealer in writing of any changes to the list of Sellers (including any permitted transferee that becomes a Holder under the Leak-Out Agreement), any modifications, waivers or amendments to any Leak-Out Agreement and any event or circumstance that would cause any of the foregoing representations to be untrue or inaccurate in any material respect, (ii) notify the Sellers of Broker-Dealer’s appointment as exclusive broker-dealer and manager pursuant to this Agreement, and (iii) use commercially reasonable efforts to cause any permitted transferee of Restricted Shares under the Leak-Out Agreement to satisfy the conditions set forth in Section 6 within thirty (30) days following the date of such transfer, and no such transferee shall be treated as a Seller hereunder or be entitled to route sell orders through Broker-Dealer until such conditions have been satisfied; (g) there is no action, suit or proceeding pending or, to the Company’s knowledge, threatened that would reasonably be expected to result in a trading halt, suspension of the effectiveness of any registration statement covering the Restricted Shares, or material impairment of the Company’s ability to perform hereunder; (h) neither the Company nor, to the Company’s knowledge, any Seller is in violation of any applicable federal or state securities law or regulation, including the anti-fraud and anti-manipulation provisions of the Exchange Act, in connection with the transactions contemplated hereby; (i) the Sellers listed on Exhibit B constitute all Holders (as defined in the Leak-Out Agreement) as of the date of this Agreement; and (j) no later than five (5) business days following the date hereof, the Company shall deliver to Broker-Dealer a schedule setting forth, for each Seller, the total number of Restricted Shares held by or issuable to such Seller (the “</w:t>
      </w:r>
      <w:r>
        <w:rPr>
          <w:rFonts w:ascii="Times New Roman;Times;Serif" w:hAnsi="Times New Roman;Times;Serif"/>
          <w:b w:val="false"/>
          <w:i w:val="false"/>
          <w:caps w:val="false"/>
          <w:smallCaps w:val="false"/>
          <w:sz w:val="20"/>
          <w:u w:val="single"/>
        </w:rPr>
        <w:t>Seller Schedule</w:t>
      </w:r>
      <w:r>
        <w:rPr>
          <w:rFonts w:ascii="Times New Roman;Times;Serif" w:hAnsi="Times New Roman;Times;Serif"/>
          <w:b w:val="false"/>
          <w:i w:val="false"/>
          <w:caps w:val="false"/>
          <w:smallCaps w:val="false"/>
          <w:sz w:val="20"/>
        </w:rPr>
        <w:t>”), and shall promptly update the Seller Schedule to reflect any changes thereto, including the addition of any permitted transferee. Broker-Dealer shall track each Seller’s cumulative sales and remaining individual selling capacity under the Leak-Out Agreement based on the Seller Schedule and Broker-Dealer’s own execution records, and shall be entitled to conclusively rely on the accuracy and completeness of the Seller Schedule as delivered by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The Company hereby represents, warrants, and covenants to Broker-Dealer that, as of the date hereof and on each date on which Broker-Dealer executes a sale of Restricted Shares hereunder, to the Company’s knowledge, no Seller is (a) a person or entity identified on the Specially Designated Nationals and Blocked Persons List maintained by the Office of Foreign Assets Control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of the U.S. Department of the Treasury, (b) otherwise subject to sanctions administered by OFAC or any other applicable governmental authority, or (c) a person or entity with respect to which Broker-Dealer would be required to file a suspicious activity report under applicable law solely by reason of effecting transactions in the Restricted Shares on behalf of such Seller. The Company shall promptly notify Broker-Dealer in writing of the following and, if known in advance, reasonably prior to the applicable event or circumstance occurring: (i) if the Company becomes aware of any facts or circumstances that would cause any of the foregoing representations to be untrue, (ii) of the commencement and termination of any Allowable Grace Period (as defined in the Leak-Out Agreement), any other period during which the use of the prospectus forming part of the Resale Registration Statement or Piggyback Registration Statement (each as defined in the Leak-Out Agreement) is suspended, or any blackout period or other restriction on sales of Restricted Shares of which the Company becomes aware, (iii) of any actual or anticipated failure by the Company to timely file a report required under the Exchange Act or any other event or circumstance that could cause the Resale Registration Statement or Piggyback Registration Statement to cease to be effective or available, or sales of Restricted Shares pursuant to Rule 144 to be unavailable, and (iv) of any offering, distribution or other activity by the Company, its affiliates, or any Seller that could cause Broker-Dealer to be a distribution participant or affiliated purchaser (as such terms are defined in Regulation M under the Exchange Act) with respect to the Common Stock. Broker-Dealer shall suspend all trading activity hereunder during any period described in clause (ii) or clause (iii) or any period in which Broker-Dealer is restricted under Regulation M, in each case without liability to the Company or any Seller.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w:t>
      </w:r>
      <w:r>
        <w:rPr>
          <w:rFonts w:ascii="Times New Roman;Times;Serif" w:hAnsi="Times New Roman;Times;Serif"/>
          <w:b w:val="false"/>
          <w:i w:val="false"/>
          <w:caps w:val="false"/>
          <w:smallCaps w:val="false"/>
          <w:sz w:val="20"/>
          <w:u w:val="single"/>
        </w:rPr>
        <w:t>Seller Account Requirement</w:t>
      </w:r>
      <w:r>
        <w:rPr>
          <w:rFonts w:ascii="Times New Roman;Times;Serif" w:hAnsi="Times New Roman;Times;Serif"/>
          <w:b w:val="false"/>
          <w:i w:val="false"/>
          <w:caps w:val="false"/>
          <w:smallCaps w:val="false"/>
          <w:sz w:val="20"/>
        </w:rPr>
        <w:t xml:space="preserve">. As a condition precedent to Broker-Dealer’s obligation to accept or execute any sell order for Restricted Shares on behalf of any Seller, such Seller shall (a) open and maintain a brokerage account with Broker-Dealer, (b) execute such account documentation as Broker-Dealer may reasonably require, and (c) deliver to Broker-Dealer a written acknowledgment substantially in the form attached hereto as </w:t>
      </w:r>
      <w:r>
        <w:rPr>
          <w:rFonts w:ascii="Times New Roman;Times;Serif" w:hAnsi="Times New Roman;Times;Serif"/>
          <w:b w:val="false"/>
          <w:i w:val="false"/>
          <w:caps w:val="false"/>
          <w:smallCaps w:val="false"/>
          <w:sz w:val="20"/>
          <w:u w:val="single"/>
        </w:rPr>
        <w:t>Exhibit C</w:t>
      </w:r>
      <w:r>
        <w:rPr>
          <w:rFonts w:ascii="Times New Roman;Times;Serif" w:hAnsi="Times New Roman;Times;Serif"/>
          <w:b w:val="false"/>
          <w:i w:val="false"/>
          <w:caps w:val="false"/>
          <w:smallCaps w:val="false"/>
          <w:sz w:val="20"/>
        </w:rPr>
        <w:t>. The Company shall use commercially reasonable efforts to cause each Seller to satisfy the foregoing conditions within thirty (30) days following the date of this Agreement, and shall promptly notify Broker-Dealer of any Seller that fails or refuses to do so.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Each party (a “</w:t>
      </w:r>
      <w:r>
        <w:rPr>
          <w:rFonts w:ascii="Times New Roman;Times;Serif" w:hAnsi="Times New Roman;Times;Serif"/>
          <w:b w:val="false"/>
          <w:i w:val="false"/>
          <w:caps w:val="false"/>
          <w:smallCaps w:val="false"/>
          <w:sz w:val="20"/>
          <w:u w:val="single"/>
        </w:rPr>
        <w:t>Receiving Party</w:t>
      </w:r>
      <w:r>
        <w:rPr>
          <w:rFonts w:ascii="Times New Roman;Times;Serif" w:hAnsi="Times New Roman;Times;Serif"/>
          <w:b w:val="false"/>
          <w:i w:val="false"/>
          <w:caps w:val="false"/>
          <w:smallCaps w:val="false"/>
          <w:sz w:val="20"/>
        </w:rPr>
        <w:t>”) will use reasonable efforts (no less than those it uses to protect its own confidential information) to hold in confidence any confidential information which the other party (a “</w:t>
      </w:r>
      <w:r>
        <w:rPr>
          <w:rFonts w:ascii="Times New Roman;Times;Serif" w:hAnsi="Times New Roman;Times;Serif"/>
          <w:b w:val="false"/>
          <w:i w:val="false"/>
          <w:caps w:val="false"/>
          <w:smallCaps w:val="false"/>
          <w:sz w:val="20"/>
          <w:u w:val="single"/>
        </w:rPr>
        <w:t>Disclosing Party</w:t>
      </w:r>
      <w:r>
        <w:rPr>
          <w:rFonts w:ascii="Times New Roman;Times;Serif" w:hAnsi="Times New Roman;Times;Serif"/>
          <w:b w:val="false"/>
          <w:i w:val="false"/>
          <w:caps w:val="false"/>
          <w:smallCaps w:val="false"/>
          <w:sz w:val="20"/>
        </w:rPr>
        <w:t>”) provides to the Receiving Party pursuant to this Agreement which is designated by an appropriate stamp, legend or mark as being confidential or which, given the nature of the information or the circumstances of disclosure, a reasonable person would understand to be confidential. Notwithstanding the foregoing, a Receiving Party shall not be required to maintain confidentiality with respect to information (i) which is or becomes part of the public domain not due to the breach of this Agreement by the Receiving Party; (ii) of which the Receiving Party had independent knowledge prior to disclosure; (iii) which comes into the possession of the Receiving Party in the normal and routine course of its own business from and through independent non-confidential sources; (iv) which is required to be disclosed by the Receiving Party by applicable laws, rules or regulations, including in response to a subpoena, civil investigative demand or similar legal process; or (v) which is disclosed by Broker-Dealer to the Financial Industry Regulatory Authority, the Securities and Exchange Commission or any other governmental authority having jurisdiction over Broker-Dealer in connection with routine examinations or ordinary-course regulatory interactions. If a Receiving Party is requested or required to disclose any confidential information supplied to it by the Disclosing Party (other than pursuant to clause (v) above), the Receiving Party shall, unless prohibited by law, use reasonable efforts to promptly notify the Disclosing Party of such request(s) so that the Disclosing Party (at its sole cost and expense) may seek an appropriate protective order. The obligations of this Section 7 shall survive termination of this Agreement for a period of one (1) year.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 </w:t>
      </w:r>
      <w:r>
        <w:rPr>
          <w:rFonts w:ascii="Times New Roman;Times;Serif" w:hAnsi="Times New Roman;Times;Serif"/>
          <w:b w:val="false"/>
          <w:i w:val="false"/>
          <w:caps w:val="false"/>
          <w:smallCaps w:val="false"/>
          <w:sz w:val="20"/>
          <w:u w:val="single"/>
        </w:rPr>
        <w:t>Business Activities</w:t>
      </w:r>
      <w:r>
        <w:rPr>
          <w:rFonts w:ascii="Times New Roman;Times;Serif" w:hAnsi="Times New Roman;Times;Serif"/>
          <w:b w:val="false"/>
          <w:i w:val="false"/>
          <w:caps w:val="false"/>
          <w:smallCaps w:val="false"/>
          <w:sz w:val="20"/>
        </w:rPr>
        <w:t>. The Company acknowledges that Broker-Dealer or its affiliates are in the business of providing financial services and advice to others. Nothing herein contained shall be construed to limit or restrict Broker-Dealer in conducting any business with others, or in rendering such services or advice to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course of its business, Broker-Dealer may acquire information about a transaction, potential participants or other parties to a transaction. Broker-Dealer shall have no obligation to disclose such information to the Company or to use such information on the Company’s behalf. The Company acknowledges that Broker-Dealer may have fiduciary or other relationships whereby Broker-Dealer may exercise voting power over the securities of various persons, which securities may from time to time include those of the Company or a participant or a related or interested party to them or the transaction. The Company acknowledges that Broker-Dealer may exercise such powers and otherwise perform its functions in connection with such fiduciary or other relationships without regard to its relationship to the Company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9. </w:t>
      </w:r>
      <w:r>
        <w:rPr>
          <w:rFonts w:ascii="Times New Roman;Times;Serif" w:hAnsi="Times New Roman;Times;Serif"/>
          <w:b w:val="false"/>
          <w:i w:val="false"/>
          <w:caps w:val="false"/>
          <w:smallCaps w:val="false"/>
          <w:sz w:val="20"/>
          <w:u w:val="single"/>
        </w:rPr>
        <w:t>Term, Termination</w:t>
      </w:r>
      <w:r>
        <w:rPr>
          <w:rFonts w:ascii="Times New Roman;Times;Serif" w:hAnsi="Times New Roman;Times;Serif"/>
          <w:b w:val="false"/>
          <w:i w:val="false"/>
          <w:caps w:val="false"/>
          <w:smallCaps w:val="false"/>
          <w:sz w:val="20"/>
        </w:rPr>
        <w:t>. This Agreement shall commence on the date hereof and the obligation of the Broker-Dealer to provide services under this Agreement will terminate at the expiration or earlier termination of the Lock-Up Period (as defined in the Leak-Out Agreement) (the “</w:t>
      </w:r>
      <w:r>
        <w:rPr>
          <w:rFonts w:ascii="Times New Roman;Times;Serif" w:hAnsi="Times New Roman;Times;Serif"/>
          <w:b w:val="false"/>
          <w:i w:val="false"/>
          <w:caps w:val="false"/>
          <w:smallCaps w:val="false"/>
          <w:sz w:val="20"/>
          <w:u w:val="single"/>
        </w:rPr>
        <w:t>Term</w:t>
      </w:r>
      <w:r>
        <w:rPr>
          <w:rFonts w:ascii="Times New Roman;Times;Serif" w:hAnsi="Times New Roman;Times;Serif"/>
          <w:b w:val="false"/>
          <w:i w:val="false"/>
          <w:caps w:val="false"/>
          <w:smallCaps w:val="false"/>
          <w:sz w:val="20"/>
        </w:rPr>
        <w:t>”). The Company may terminate this Agreement for any reason upon five (5) business days’ advance written notice to Broker-Dealer. Either party may terminate this Agreement upon fifteen (15) business days’ advance written notice to the other party in the event of a material breach by such other party of any representation, warranty, covenant or obligation under this Agreement that remains uncured for a period of fifteen (15) business days following receipt of such notice (it being understood that such cure and notice periods may run concurrently, that during such period all trading activity hereunder may, at the non-breaching party’s election, be suspended, and, if such breach is not capable of being cured, as reasonably determined by the non-breaching party, such termination may become effective immediately upon receipt of such notice). Upon the termination or expiration of this Agreement for any reason other than a termination by the Company for Broker-Dealer’s uncured material breach pursuant to the preceding sentence, the Company shall pay to Broker-Dealer, within five (5) business days following the effective date of such termination or expiration, an amount equal to the excess, if any, of four hundred thousand dollars ($400,000) over the aggregate Commissions actually received by Broker-Dealer under this Agreement prior to such termination or expiration. Broker-Dealer may suspend all trading activity hereunder at any time if, in Broker-Dealer’s reasonable discretion, continued performance would be non-compliant with applicable law, regulation (including the rules and regulations of the Financial Industry Regulatory Authority or the Securities and Exchange Commission) or Broker-Dealer’s internal compliance policies, and such suspension shall continue until the applicable condition is resolved to Broker-Dealer’s reasonable satisfaction. Any termination or suspension of this Agreement shall not affect the rights and obligations of the parties with respect to transactions effected prior to the effectiveness of such termination or suspension. Any termination of this Agreement will not terminate the provisions of this Agreement in Sections 2 (Compensation, Commission and Fees), 6 (Seller Account Requirement), 7 (Confidentiality) (subject to its terms), 8 (Business Activities), 9 (Term, Termination), 10 (Indemnity), and 13 (Miscellaneous).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 </w:t>
      </w:r>
      <w:r>
        <w:rPr>
          <w:rFonts w:ascii="Times New Roman;Times;Serif" w:hAnsi="Times New Roman;Times;Serif"/>
          <w:b w:val="false"/>
          <w:i w:val="false"/>
          <w:caps w:val="false"/>
          <w:smallCaps w:val="false"/>
          <w:sz w:val="20"/>
          <w:u w:val="single"/>
        </w:rPr>
        <w:t>Indemnity</w:t>
      </w:r>
      <w:r>
        <w:rPr>
          <w:rFonts w:ascii="Times New Roman;Times;Serif" w:hAnsi="Times New Roman;Times;Serif"/>
          <w:b w:val="false"/>
          <w:i w:val="false"/>
          <w:caps w:val="false"/>
          <w:smallCaps w:val="false"/>
          <w:sz w:val="20"/>
        </w:rPr>
        <w:t>. The Company agrees to indemnify, defend and hold harmless Broker-Dealer, its affiliates, and each of their respective employees, agents, representatives, directors, officers and controlling persons (collectively, “</w:t>
      </w:r>
      <w:r>
        <w:rPr>
          <w:rFonts w:ascii="Times New Roman;Times;Serif" w:hAnsi="Times New Roman;Times;Serif"/>
          <w:b w:val="false"/>
          <w:i w:val="false"/>
          <w:caps w:val="false"/>
          <w:smallCaps w:val="false"/>
          <w:sz w:val="20"/>
          <w:u w:val="single"/>
        </w:rPr>
        <w:t>Indemnified Parties</w:t>
      </w:r>
      <w:r>
        <w:rPr>
          <w:rFonts w:ascii="Times New Roman;Times;Serif" w:hAnsi="Times New Roman;Times;Serif"/>
          <w:b w:val="false"/>
          <w:i w:val="false"/>
          <w:caps w:val="false"/>
          <w:smallCaps w:val="false"/>
          <w:sz w:val="20"/>
        </w:rPr>
        <w:t>”) from and against any and all actual losses, claims, damages, liabilities, costs and expenses of or resulting from any suits, actions, investigations or other proceedings (collectively, “</w:t>
      </w:r>
      <w:r>
        <w:rPr>
          <w:rFonts w:ascii="Times New Roman;Times;Serif" w:hAnsi="Times New Roman;Times;Serif"/>
          <w:b w:val="false"/>
          <w:i w:val="false"/>
          <w:caps w:val="false"/>
          <w:smallCaps w:val="false"/>
          <w:sz w:val="20"/>
          <w:u w:val="single"/>
        </w:rPr>
        <w:t>Damages</w:t>
      </w:r>
      <w:r>
        <w:rPr>
          <w:rFonts w:ascii="Times New Roman;Times;Serif" w:hAnsi="Times New Roman;Times;Serif"/>
          <w:b w:val="false"/>
          <w:i w:val="false"/>
          <w:caps w:val="false"/>
          <w:smallCaps w:val="false"/>
          <w:sz w:val="20"/>
        </w:rPr>
        <w:t>”), including reasonable attorney fees and expenses, as and when incurred, if such Damages were directly or indirectly caused by, relating to, based upon or arising out of the rendering by Broker-Dealer of services pursuant to this Agreement or any breach by the Company of any representation, warranty, covenant or obligation under this Agreement, provided, that the Company shall not be required to indemnify Broker-Dealer to the extent Broker-Dealer has engaged in intentional or willful misconduct, or shall have acted grossly negligent, in connection with the services provided which form the basis of the claim for indemnification (in each case, as finally determined by a court of competent jurisdiction). The Company shall advance to the Indemnified Parties reasonable attorney fees and expenses as and when incurred upon receipt of an undertaking by the applicable Indemnified Party to repay such amounts if it is finally determined by a court of competent jurisdiction that such Indemnified Party is not entitled to indemnification hereunder. Broker-Dealer shall have no liability to the Company or any Seller in connection with this Agreement or the services provided hereunder, except to the extent that any Damages are finally judicially determined by a court of competent jurisdiction to have resulted solely from Broker-Dealer’s gross negligence or willful misconduct. In no event shall Broker-Dealer’s aggregate liability arising out of or in connection with this Agreement exceed the aggregate commissions actually received by Broker-Dealer under this Agreement. If the indemnification provided for in this Section 10 is unavailable or insufficient to hold an Indemnified Party harmless for any Damages, the Company shall contribute to the amount paid or payable by such Indemnified Party as a result of such Damages in the first instance, and the Company hereby waives any right of contribution against any Indemnified Party. All commissions earned by and paid to Broker-Dealer hereunder shall be fully earned, non-refundable and non-recoverable upon receipt, and shall not be subject to offset, chargeback or clawback. This Section 10 shall survive the termination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11. </w:t>
      </w:r>
      <w:r>
        <w:rPr>
          <w:rFonts w:ascii="Times New Roman;Times;Serif" w:hAnsi="Times New Roman;Times;Serif"/>
          <w:b w:val="false"/>
          <w:i w:val="false"/>
          <w:caps w:val="false"/>
          <w:smallCaps w:val="false"/>
          <w:sz w:val="20"/>
          <w:u w:val="single"/>
        </w:rPr>
        <w:t>Independent Contractor</w:t>
      </w:r>
      <w:r>
        <w:rPr>
          <w:rFonts w:ascii="Times New Roman;Times;Serif" w:hAnsi="Times New Roman;Times;Serif"/>
          <w:b w:val="false"/>
          <w:i w:val="false"/>
          <w:caps w:val="false"/>
          <w:smallCaps w:val="false"/>
          <w:sz w:val="20"/>
        </w:rPr>
        <w:t>. Broker-Dealer shall perform its services hereunder as an independent contractor and not as an employee or agent of the Company or any affiliate thereof. Broker-Dealer shall have no authority to act for, represent or bind the Company or any affiliate thereof in any manner, except as may be expressly agreed to by the Company in writing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12. </w:t>
      </w:r>
      <w:r>
        <w:rPr>
          <w:rFonts w:ascii="Times New Roman;Times;Serif" w:hAnsi="Times New Roman;Times;Serif"/>
          <w:b w:val="false"/>
          <w:i w:val="false"/>
          <w:caps w:val="false"/>
          <w:smallCaps w:val="false"/>
          <w:sz w:val="20"/>
          <w:u w:val="single"/>
        </w:rPr>
        <w:t>Cooperation.</w:t>
      </w:r>
      <w:r>
        <w:rPr>
          <w:rFonts w:ascii="Times New Roman;Times;Serif" w:hAnsi="Times New Roman;Times;Serif"/>
          <w:b w:val="false"/>
          <w:i w:val="false"/>
          <w:caps w:val="false"/>
          <w:smallCaps w:val="false"/>
          <w:sz w:val="20"/>
        </w:rPr>
        <w:t xml:space="preserve"> The parties agree to use reasonable efforts to execute and deliver such documents and instruments, whether expressly provided for herein or not, as may be necessary or appropriate to effectuate any of the provisions of this Agreement. The Company shall use commercially reasonable efforts to cause its transfer agent to transfer Restricted Shares, including Restricted Shares issued upon the exercise or conversion of any warrant or other convertible security, as directed by Broker-Dealer in connection with any sell order made and accepted by Broker-Dealer pursuant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13.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 xml:space="preserve">. This Agreement constitutes the entire agreement between the parties with respect to the subject matter hereof. No provision of this Agreement may be amended, modified or waived, except in a writing signed by both parties. If any provision of this Agreement be invalid or unenforceable, the remainder of the Agreement or the application of the provision to persons or circumstances other than those as to which it is held invalid or unenforceable, will not be affected thereby, and each provision of this Agreement will be valid and be enforced to the fullest extent permitted by law. Neither party may assign this Agreement without the prior written consent of the other party, and any purported assignment in violation of this sentence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 This Agreement shall be binding upon and inure to the benefit of each of the parties and their respective permitted successors, legal representatives and assigns. This Agreement may be executed in counterparts (including by electronic signature or .pdf). All notices or other communications required or permitted to be given under this Agreement shall be in writing and shall be deemed to have been duly given (a) when delivered personally, (b) upon receipt of confirmation if sent by email (provided that no automated error or “bounce back” message is received), (c) one (1) business day after being sent by nationally recognized overnight courier service, or (d) five (5) business days after being mailed by certified or registered mail, return receipt requested, postage prepaid, in each case addressed to the applicable party at the address set forth below (or at such other address as such party may designate by notice to the other party in accordance with this provision). This Agreement shall be construed and enforced in accordance with the laws of the State of New York, without giving effect to conflict of laws. Each party hereby irrevocably submits to the exclusive jurisdiction of, and agrees that venue shall be proper in, the Federal and State courts located in the Borough of Manhattan, City of New York, in any suit or proceeding arising out of or relating to this Agreement, and each party waives any objection to such jurisdiction or venue. EACH PARTY HEREBY IRREVOCABLY WAIVES ANY AND ALL RIGHTS TO TRIAL BY JURY WITH RESPECT TO ANY LEGAL PROCEEDING ARISING OUT OF OR RELATING TO THIS AGREEMENT OR ANY TRANSACTION CONTEMPLATED HEREBY. Except for the Indemnified Parties, nothing in this Agreement is intended to confer any right or benefit upon any third party. This Agreement shall be deemed jointly drafted by all parties hereto, and any rule requiring any provision of this Agreement to be construed against the drafter is hereby waived. The prevailing party in any action or proceeding brought to enforce or otherwise recover under this Agreement will be entitled to an award of all reasonable attorney’s fees and expenses incurred in connection therewith. For purposes of this Agreement, “include,” “includes,” “including,” and words of similar import shall be deemed to be followed by the words “without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Agreement to be duly executed on the day and year first above written.</w:t>
      </w:r>
    </w:p>
    <w:p>
      <w:pPr>
        <w:pStyle w:val="TextBody"/>
        <w:bidi w:val="0"/>
        <w:spacing w:before="0" w:after="0"/>
        <w:ind w:left="0" w:right="0" w:hanging="0"/>
        <w:jc w:val="center"/>
        <w:rPr>
          <w:caps w:val="false"/>
          <w:smallCaps w:val="false"/>
        </w:rPr>
      </w:pPr>
      <w:r>
        <w:rPr>
          <w:caps w:val="false"/>
          <w:smallCaps w:val="false"/>
        </w:rPr>
        <w:t> </w:t>
      </w:r>
    </w:p>
    <w:tbl>
      <w:tblPr>
        <w:tblW w:w="5789" w:type="dxa"/>
        <w:jc w:val="left"/>
        <w:tblInd w:w="0" w:type="dxa"/>
        <w:tblLayout w:type="fixed"/>
        <w:tblCellMar>
          <w:top w:w="0" w:type="dxa"/>
          <w:left w:w="0" w:type="dxa"/>
          <w:bottom w:w="0" w:type="dxa"/>
          <w:right w:w="0" w:type="dxa"/>
        </w:tblCellMar>
      </w:tblPr>
      <w:tblGrid>
        <w:gridCol w:w="2883"/>
        <w:gridCol w:w="346"/>
        <w:gridCol w:w="60"/>
        <w:gridCol w:w="545"/>
        <w:gridCol w:w="1955"/>
      </w:tblGrid>
      <w:tr>
        <w:trPr/>
        <w:tc>
          <w:tcPr>
            <w:tcW w:w="3229" w:type="dxa"/>
            <w:gridSpan w:val="2"/>
            <w:tcBorders/>
            <w:vAlign w:val="center"/>
          </w:tcPr>
          <w:p>
            <w:pPr>
              <w:pStyle w:val="TableContents"/>
              <w:bidi w:val="0"/>
              <w:spacing w:before="0" w:after="283"/>
              <w:jc w:val="left"/>
              <w:rPr>
                <w:sz w:val="20"/>
              </w:rPr>
            </w:pPr>
            <w:r>
              <w:rPr>
                <w:sz w:val="20"/>
              </w:rPr>
              <w:t>CHARDAN CAPITAL MARKETS LLC</w:t>
            </w:r>
          </w:p>
        </w:tc>
        <w:tc>
          <w:tcPr>
            <w:tcW w:w="60" w:type="dxa"/>
            <w:tcBorders/>
            <w:vAlign w:val="center"/>
          </w:tcPr>
          <w:p>
            <w:pPr>
              <w:pStyle w:val="TableContents"/>
              <w:bidi w:val="0"/>
              <w:spacing w:before="0" w:after="283"/>
              <w:jc w:val="left"/>
              <w:rPr/>
            </w:pPr>
            <w:r>
              <w:rPr/>
              <w:t> </w:t>
            </w:r>
          </w:p>
        </w:tc>
        <w:tc>
          <w:tcPr>
            <w:tcW w:w="2500" w:type="dxa"/>
            <w:gridSpan w:val="2"/>
            <w:tcBorders/>
            <w:vAlign w:val="center"/>
          </w:tcPr>
          <w:p>
            <w:pPr>
              <w:pStyle w:val="TableContents"/>
              <w:bidi w:val="0"/>
              <w:spacing w:before="0" w:after="283"/>
              <w:jc w:val="left"/>
              <w:rPr>
                <w:sz w:val="20"/>
              </w:rPr>
            </w:pPr>
            <w:r>
              <w:rPr>
                <w:sz w:val="20"/>
              </w:rPr>
              <w:t>ZAPATA QUANTUM INC.</w:t>
            </w:r>
          </w:p>
        </w:tc>
      </w:tr>
      <w:tr>
        <w:trPr/>
        <w:tc>
          <w:tcPr>
            <w:tcW w:w="2883" w:type="dxa"/>
            <w:tcBorders/>
            <w:vAlign w:val="center"/>
          </w:tcPr>
          <w:p>
            <w:pPr>
              <w:pStyle w:val="TableContents"/>
              <w:bidi w:val="0"/>
              <w:spacing w:before="0" w:after="283"/>
              <w:jc w:val="left"/>
              <w:rPr/>
            </w:pPr>
            <w:r>
              <w:rPr/>
              <w:t> </w:t>
            </w:r>
          </w:p>
        </w:tc>
        <w:tc>
          <w:tcPr>
            <w:tcW w:w="3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2883" w:type="dxa"/>
            <w:tcBorders/>
            <w:vAlign w:val="center"/>
          </w:tcPr>
          <w:p>
            <w:pPr>
              <w:pStyle w:val="TableContents"/>
              <w:bidi w:val="0"/>
              <w:spacing w:before="0" w:after="283"/>
              <w:jc w:val="left"/>
              <w:rPr>
                <w:sz w:val="20"/>
              </w:rPr>
            </w:pPr>
            <w:r>
              <w:rPr>
                <w:sz w:val="20"/>
              </w:rPr>
              <w:t>By:</w:t>
            </w:r>
          </w:p>
        </w:tc>
        <w:tc>
          <w:tcPr>
            <w:tcW w:w="346"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2883" w:type="dxa"/>
            <w:tcBorders/>
            <w:vAlign w:val="center"/>
          </w:tcPr>
          <w:p>
            <w:pPr>
              <w:pStyle w:val="TableContents"/>
              <w:bidi w:val="0"/>
              <w:spacing w:before="0" w:after="283"/>
              <w:jc w:val="left"/>
              <w:rPr>
                <w:sz w:val="20"/>
              </w:rPr>
            </w:pPr>
            <w:r>
              <w:rPr>
                <w:sz w:val="20"/>
              </w:rPr>
              <w:t>Name:</w:t>
            </w:r>
          </w:p>
        </w:tc>
        <w:tc>
          <w:tcPr>
            <w:tcW w:w="3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955" w:type="dxa"/>
            <w:tcBorders/>
            <w:vAlign w:val="center"/>
          </w:tcPr>
          <w:p>
            <w:pPr>
              <w:pStyle w:val="TableContents"/>
              <w:bidi w:val="0"/>
              <w:spacing w:before="0" w:after="283"/>
              <w:jc w:val="left"/>
              <w:rPr>
                <w:sz w:val="20"/>
              </w:rPr>
            </w:pPr>
            <w:r>
              <w:rPr>
                <w:sz w:val="20"/>
              </w:rPr>
              <w:t>Sumit Kapur</w:t>
            </w:r>
          </w:p>
        </w:tc>
      </w:tr>
      <w:tr>
        <w:trPr/>
        <w:tc>
          <w:tcPr>
            <w:tcW w:w="2883" w:type="dxa"/>
            <w:tcBorders/>
            <w:vAlign w:val="center"/>
          </w:tcPr>
          <w:p>
            <w:pPr>
              <w:pStyle w:val="TableContents"/>
              <w:bidi w:val="0"/>
              <w:spacing w:before="0" w:after="283"/>
              <w:jc w:val="left"/>
              <w:rPr>
                <w:sz w:val="20"/>
              </w:rPr>
            </w:pPr>
            <w:r>
              <w:rPr>
                <w:sz w:val="20"/>
              </w:rPr>
              <w:t>Title:</w:t>
            </w:r>
          </w:p>
        </w:tc>
        <w:tc>
          <w:tcPr>
            <w:tcW w:w="34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tbl>
      <w:tblPr>
        <w:tblW w:w="4673" w:type="dxa"/>
        <w:jc w:val="left"/>
        <w:tblInd w:w="0" w:type="dxa"/>
        <w:tblLayout w:type="fixed"/>
        <w:tblCellMar>
          <w:top w:w="0" w:type="dxa"/>
          <w:left w:w="0" w:type="dxa"/>
          <w:bottom w:w="0" w:type="dxa"/>
          <w:right w:w="0" w:type="dxa"/>
        </w:tblCellMar>
      </w:tblPr>
      <w:tblGrid>
        <w:gridCol w:w="2441"/>
        <w:gridCol w:w="83"/>
        <w:gridCol w:w="60"/>
        <w:gridCol w:w="928"/>
        <w:gridCol w:w="1161"/>
      </w:tblGrid>
      <w:tr>
        <w:trPr/>
        <w:tc>
          <w:tcPr>
            <w:tcW w:w="2524" w:type="dxa"/>
            <w:gridSpan w:val="2"/>
            <w:tcBorders/>
            <w:vAlign w:val="center"/>
          </w:tcPr>
          <w:p>
            <w:pPr>
              <w:pStyle w:val="TableContents"/>
              <w:bidi w:val="0"/>
              <w:spacing w:before="0" w:after="283"/>
              <w:jc w:val="left"/>
              <w:rPr>
                <w:sz w:val="20"/>
              </w:rPr>
            </w:pPr>
            <w:r>
              <w:rPr>
                <w:sz w:val="20"/>
              </w:rPr>
              <w:t>Address for Notices:</w:t>
            </w:r>
          </w:p>
        </w:tc>
        <w:tc>
          <w:tcPr>
            <w:tcW w:w="60" w:type="dxa"/>
            <w:tcBorders/>
            <w:vAlign w:val="center"/>
          </w:tcPr>
          <w:p>
            <w:pPr>
              <w:pStyle w:val="TableContents"/>
              <w:bidi w:val="0"/>
              <w:spacing w:before="0" w:after="283"/>
              <w:jc w:val="left"/>
              <w:rPr/>
            </w:pPr>
            <w:r>
              <w:rPr/>
              <w:t> </w:t>
            </w:r>
          </w:p>
        </w:tc>
        <w:tc>
          <w:tcPr>
            <w:tcW w:w="2089" w:type="dxa"/>
            <w:gridSpan w:val="2"/>
            <w:tcBorders/>
            <w:vAlign w:val="center"/>
          </w:tcPr>
          <w:p>
            <w:pPr>
              <w:pStyle w:val="TableContents"/>
              <w:bidi w:val="0"/>
              <w:spacing w:before="0" w:after="283"/>
              <w:jc w:val="left"/>
              <w:rPr/>
            </w:pPr>
            <w:r>
              <w:rPr/>
              <w:t> </w:t>
            </w:r>
          </w:p>
        </w:tc>
      </w:tr>
      <w:tr>
        <w:trPr/>
        <w:tc>
          <w:tcPr>
            <w:tcW w:w="2524" w:type="dxa"/>
            <w:gridSpan w:val="2"/>
            <w:tcBorders/>
            <w:vAlign w:val="center"/>
          </w:tcPr>
          <w:p>
            <w:pPr>
              <w:pStyle w:val="TableContents"/>
              <w:bidi w:val="0"/>
              <w:spacing w:before="0" w:after="283"/>
              <w:jc w:val="left"/>
              <w:rPr>
                <w:b/>
                <w:sz w:val="20"/>
              </w:rPr>
            </w:pPr>
            <w:r>
              <w:rPr>
                <w:b/>
                <w:sz w:val="20"/>
              </w:rPr>
              <w:t>One Pennsylvania Plaza</w:t>
            </w:r>
          </w:p>
        </w:tc>
        <w:tc>
          <w:tcPr>
            <w:tcW w:w="60" w:type="dxa"/>
            <w:tcBorders/>
            <w:vAlign w:val="center"/>
          </w:tcPr>
          <w:p>
            <w:pPr>
              <w:pStyle w:val="TableContents"/>
              <w:bidi w:val="0"/>
              <w:spacing w:before="0" w:after="283"/>
              <w:jc w:val="left"/>
              <w:rPr/>
            </w:pPr>
            <w:r>
              <w:rPr/>
              <w:t> </w:t>
            </w:r>
          </w:p>
        </w:tc>
        <w:tc>
          <w:tcPr>
            <w:tcW w:w="2089" w:type="dxa"/>
            <w:gridSpan w:val="2"/>
            <w:tcBorders/>
            <w:vAlign w:val="center"/>
          </w:tcPr>
          <w:p>
            <w:pPr>
              <w:pStyle w:val="TableContents"/>
              <w:bidi w:val="0"/>
              <w:spacing w:before="0" w:after="283"/>
              <w:jc w:val="left"/>
              <w:rPr>
                <w:b/>
                <w:sz w:val="20"/>
              </w:rPr>
            </w:pPr>
            <w:r>
              <w:rPr>
                <w:b/>
                <w:sz w:val="20"/>
              </w:rPr>
              <w:t>6 Liberty Square, #2488</w:t>
            </w:r>
          </w:p>
        </w:tc>
      </w:tr>
      <w:tr>
        <w:trPr/>
        <w:tc>
          <w:tcPr>
            <w:tcW w:w="2524" w:type="dxa"/>
            <w:gridSpan w:val="2"/>
            <w:tcBorders/>
            <w:vAlign w:val="center"/>
          </w:tcPr>
          <w:p>
            <w:pPr>
              <w:pStyle w:val="TableContents"/>
              <w:bidi w:val="0"/>
              <w:spacing w:before="0" w:after="283"/>
              <w:jc w:val="left"/>
              <w:rPr>
                <w:b/>
                <w:sz w:val="20"/>
              </w:rPr>
            </w:pPr>
            <w:r>
              <w:rPr>
                <w:b/>
                <w:sz w:val="20"/>
              </w:rPr>
              <w:t>Suite 4800</w:t>
            </w:r>
          </w:p>
        </w:tc>
        <w:tc>
          <w:tcPr>
            <w:tcW w:w="60" w:type="dxa"/>
            <w:tcBorders/>
            <w:vAlign w:val="center"/>
          </w:tcPr>
          <w:p>
            <w:pPr>
              <w:pStyle w:val="TableContents"/>
              <w:bidi w:val="0"/>
              <w:spacing w:before="0" w:after="283"/>
              <w:jc w:val="left"/>
              <w:rPr/>
            </w:pPr>
            <w:r>
              <w:rPr/>
              <w:t> </w:t>
            </w:r>
          </w:p>
        </w:tc>
        <w:tc>
          <w:tcPr>
            <w:tcW w:w="2089" w:type="dxa"/>
            <w:gridSpan w:val="2"/>
            <w:tcBorders/>
            <w:vAlign w:val="center"/>
          </w:tcPr>
          <w:p>
            <w:pPr>
              <w:pStyle w:val="TableContents"/>
              <w:bidi w:val="0"/>
              <w:spacing w:before="0" w:after="283"/>
              <w:jc w:val="left"/>
              <w:rPr>
                <w:b/>
                <w:sz w:val="20"/>
              </w:rPr>
            </w:pPr>
            <w:r>
              <w:rPr>
                <w:b/>
                <w:sz w:val="20"/>
              </w:rPr>
              <w:t>Boston, MA 02109</w:t>
            </w:r>
          </w:p>
        </w:tc>
      </w:tr>
      <w:tr>
        <w:trPr/>
        <w:tc>
          <w:tcPr>
            <w:tcW w:w="2524" w:type="dxa"/>
            <w:gridSpan w:val="2"/>
            <w:tcBorders/>
            <w:vAlign w:val="center"/>
          </w:tcPr>
          <w:p>
            <w:pPr>
              <w:pStyle w:val="TableContents"/>
              <w:bidi w:val="0"/>
              <w:spacing w:before="0" w:after="283"/>
              <w:jc w:val="left"/>
              <w:rPr>
                <w:b/>
                <w:sz w:val="20"/>
              </w:rPr>
            </w:pPr>
            <w:r>
              <w:rPr>
                <w:b/>
                <w:sz w:val="20"/>
              </w:rPr>
              <w:t>New York, NY 10119</w:t>
            </w:r>
          </w:p>
        </w:tc>
        <w:tc>
          <w:tcPr>
            <w:tcW w:w="60" w:type="dxa"/>
            <w:tcBorders/>
            <w:vAlign w:val="center"/>
          </w:tcPr>
          <w:p>
            <w:pPr>
              <w:pStyle w:val="TableContents"/>
              <w:bidi w:val="0"/>
              <w:spacing w:before="0" w:after="283"/>
              <w:jc w:val="left"/>
              <w:rPr/>
            </w:pPr>
            <w:r>
              <w:rPr/>
              <w:t> </w:t>
            </w:r>
          </w:p>
        </w:tc>
        <w:tc>
          <w:tcPr>
            <w:tcW w:w="2089" w:type="dxa"/>
            <w:gridSpan w:val="2"/>
            <w:tcBorders/>
            <w:vAlign w:val="center"/>
          </w:tcPr>
          <w:p>
            <w:pPr>
              <w:pStyle w:val="TableContents"/>
              <w:bidi w:val="0"/>
              <w:spacing w:before="0" w:after="283"/>
              <w:jc w:val="left"/>
              <w:rPr/>
            </w:pPr>
            <w:r>
              <w:rPr/>
              <w:t> </w:t>
            </w:r>
          </w:p>
        </w:tc>
      </w:tr>
      <w:tr>
        <w:trPr/>
        <w:tc>
          <w:tcPr>
            <w:tcW w:w="2524" w:type="dxa"/>
            <w:gridSpan w:val="2"/>
            <w:tcBorders/>
            <w:vAlign w:val="center"/>
          </w:tcPr>
          <w:p>
            <w:pPr>
              <w:pStyle w:val="TableContents"/>
              <w:bidi w:val="0"/>
              <w:spacing w:before="0" w:after="283"/>
              <w:jc w:val="left"/>
              <w:rPr>
                <w:b/>
                <w:sz w:val="20"/>
              </w:rPr>
            </w:pPr>
            <w:r>
              <w:rPr>
                <w:b/>
                <w:sz w:val="20"/>
              </w:rPr>
              <w:t>Email: [_____] with a copy to</w:t>
            </w:r>
          </w:p>
        </w:tc>
        <w:tc>
          <w:tcPr>
            <w:tcW w:w="60" w:type="dxa"/>
            <w:tcBorders/>
            <w:vAlign w:val="center"/>
          </w:tcPr>
          <w:p>
            <w:pPr>
              <w:pStyle w:val="TableContents"/>
              <w:bidi w:val="0"/>
              <w:spacing w:before="0" w:after="283"/>
              <w:jc w:val="left"/>
              <w:rPr/>
            </w:pPr>
            <w:r>
              <w:rPr/>
              <w:t> </w:t>
            </w:r>
          </w:p>
        </w:tc>
        <w:tc>
          <w:tcPr>
            <w:tcW w:w="2089" w:type="dxa"/>
            <w:gridSpan w:val="2"/>
            <w:tcBorders/>
            <w:vAlign w:val="center"/>
          </w:tcPr>
          <w:p>
            <w:pPr>
              <w:pStyle w:val="TableContents"/>
              <w:bidi w:val="0"/>
              <w:spacing w:before="0" w:after="283"/>
              <w:jc w:val="left"/>
              <w:rPr>
                <w:b/>
                <w:sz w:val="20"/>
              </w:rPr>
            </w:pPr>
            <w:r>
              <w:rPr>
                <w:b/>
                <w:sz w:val="20"/>
              </w:rPr>
              <w:t>Email: [_____]</w:t>
            </w:r>
          </w:p>
        </w:tc>
      </w:tr>
      <w:tr>
        <w:trPr/>
        <w:tc>
          <w:tcPr>
            <w:tcW w:w="2441" w:type="dxa"/>
            <w:tcBorders/>
            <w:vAlign w:val="center"/>
          </w:tcPr>
          <w:p>
            <w:pPr>
              <w:pStyle w:val="TableContents"/>
              <w:bidi w:val="0"/>
              <w:spacing w:before="0" w:after="283"/>
              <w:jc w:val="left"/>
              <w:rPr>
                <w:b/>
                <w:sz w:val="20"/>
              </w:rPr>
            </w:pPr>
            <w:r>
              <w:rPr>
                <w:b/>
                <w:sz w:val="20"/>
              </w:rPr>
              <w:t>legal@chardan.com</w:t>
            </w:r>
          </w:p>
        </w:tc>
        <w:tc>
          <w:tcPr>
            <w:tcW w:w="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8" w:type="dxa"/>
            <w:tcBorders/>
            <w:vAlign w:val="center"/>
          </w:tcPr>
          <w:p>
            <w:pPr>
              <w:pStyle w:val="TableContents"/>
              <w:bidi w:val="0"/>
              <w:spacing w:before="0" w:after="283"/>
              <w:jc w:val="left"/>
              <w:rPr/>
            </w:pPr>
            <w:r>
              <w:rPr/>
              <w:t> </w:t>
            </w:r>
          </w:p>
        </w:tc>
        <w:tc>
          <w:tcPr>
            <w:tcW w:w="1161"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[LEAK-OUT AGREEMENT AND ATTACHMENT]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B</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[SELLERS]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SELLER ACKNOWLEDGMENT]</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91" w:name="zapata_ex3101.htm"/>
      <w:bookmarkStart w:id="692" w:name="kszapata_ex3101"/>
      <w:bookmarkEnd w:id="691"/>
      <w:bookmarkEnd w:id="692"/>
      <w:r>
        <w:rPr>
          <w:rFonts w:ascii="Times New Roman;Times;Serif" w:hAnsi="Times New Roman;Times;Serif"/>
          <w:b/>
          <w:i w:val="false"/>
          <w:caps w:val="false"/>
          <w:smallCaps w:val="false"/>
          <w:sz w:val="20"/>
        </w:rPr>
        <w:t>Exhibit 31.1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EXECUTIVE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Sumit Kapur,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Zapata Quantum,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p>
      <w:pPr>
        <w:pStyle w:val="TextBody"/>
        <w:bidi w:val="0"/>
        <w:spacing w:before="0" w:after="0"/>
        <w:ind w:left="0" w:right="0" w:hanging="0"/>
        <w:jc w:val="both"/>
        <w:rPr>
          <w:caps w:val="false"/>
          <w:smallCaps w:val="false"/>
        </w:rPr>
      </w:pPr>
      <w:r>
        <w:rPr>
          <w:caps w:val="false"/>
          <w:smallCaps w:val="false"/>
        </w:rPr>
        <w:t> </w:t>
      </w:r>
    </w:p>
    <w:tbl>
      <w:tblPr>
        <w:tblW w:w="2435" w:type="dxa"/>
        <w:jc w:val="left"/>
        <w:tblInd w:w="0" w:type="dxa"/>
        <w:tblLayout w:type="fixed"/>
        <w:tblCellMar>
          <w:top w:w="0" w:type="dxa"/>
          <w:left w:w="0" w:type="dxa"/>
          <w:bottom w:w="28" w:type="dxa"/>
          <w:right w:w="0" w:type="dxa"/>
        </w:tblCellMar>
      </w:tblPr>
      <w:tblGrid>
        <w:gridCol w:w="2360"/>
        <w:gridCol w:w="75"/>
      </w:tblGrid>
      <w:tr>
        <w:trPr/>
        <w:tc>
          <w:tcPr>
            <w:tcW w:w="2360" w:type="dxa"/>
            <w:tcBorders>
              <w:bottom w:val="single" w:sz="8" w:space="0" w:color="000000"/>
            </w:tcBorders>
            <w:vAlign w:val="center"/>
          </w:tcPr>
          <w:p>
            <w:pPr>
              <w:pStyle w:val="TableContents"/>
              <w:bidi w:val="0"/>
              <w:spacing w:before="0" w:after="283"/>
              <w:jc w:val="left"/>
              <w:rPr>
                <w:i/>
                <w:sz w:val="20"/>
              </w:rPr>
            </w:pPr>
            <w:r>
              <w:rPr>
                <w:i/>
                <w:sz w:val="20"/>
              </w:rPr>
              <w:t>/s/ Sumit Kapur</w:t>
            </w:r>
          </w:p>
        </w:tc>
        <w:tc>
          <w:tcPr>
            <w:tcW w:w="75" w:type="dxa"/>
            <w:tcBorders/>
            <w:tcMar>
              <w:bottom w:w="0" w:type="dxa"/>
            </w:tcMar>
            <w:vAlign w:val="center"/>
          </w:tcPr>
          <w:p>
            <w:pPr>
              <w:pStyle w:val="TableContents"/>
              <w:bidi w:val="0"/>
              <w:spacing w:before="0" w:after="283"/>
              <w:jc w:val="left"/>
              <w:rPr/>
            </w:pPr>
            <w:r>
              <w:rPr/>
              <w:t> </w:t>
            </w:r>
          </w:p>
        </w:tc>
      </w:tr>
      <w:tr>
        <w:trPr/>
        <w:tc>
          <w:tcPr>
            <w:tcW w:w="2360" w:type="dxa"/>
            <w:tcBorders/>
            <w:tcMar>
              <w:bottom w:w="0" w:type="dxa"/>
            </w:tcMar>
            <w:vAlign w:val="center"/>
          </w:tcPr>
          <w:p>
            <w:pPr>
              <w:pStyle w:val="TableContents"/>
              <w:bidi w:val="0"/>
              <w:spacing w:before="0" w:after="283"/>
              <w:jc w:val="left"/>
              <w:rPr>
                <w:sz w:val="20"/>
              </w:rPr>
            </w:pPr>
            <w:r>
              <w:rPr>
                <w:sz w:val="20"/>
              </w:rPr>
              <w:t>Sumit Kapur</w:t>
            </w:r>
          </w:p>
        </w:tc>
        <w:tc>
          <w:tcPr>
            <w:tcW w:w="75" w:type="dxa"/>
            <w:tcBorders/>
            <w:tcMar>
              <w:bottom w:w="0" w:type="dxa"/>
            </w:tcMar>
            <w:vAlign w:val="center"/>
          </w:tcPr>
          <w:p>
            <w:pPr>
              <w:pStyle w:val="TableContents"/>
              <w:bidi w:val="0"/>
              <w:spacing w:before="0" w:after="283"/>
              <w:jc w:val="left"/>
              <w:rPr/>
            </w:pPr>
            <w:r>
              <w:rPr/>
              <w:t> </w:t>
            </w:r>
          </w:p>
        </w:tc>
      </w:tr>
      <w:tr>
        <w:trPr/>
        <w:tc>
          <w:tcPr>
            <w:tcW w:w="2360" w:type="dxa"/>
            <w:tcBorders/>
            <w:tcMar>
              <w:bottom w:w="0" w:type="dxa"/>
            </w:tcMar>
            <w:vAlign w:val="center"/>
          </w:tcPr>
          <w:p>
            <w:pPr>
              <w:pStyle w:val="TableContents"/>
              <w:bidi w:val="0"/>
              <w:spacing w:before="0" w:after="283"/>
              <w:jc w:val="left"/>
              <w:rPr>
                <w:sz w:val="20"/>
              </w:rPr>
            </w:pPr>
            <w:r>
              <w:rPr>
                <w:sz w:val="20"/>
              </w:rPr>
              <w:t>Chief Executive Officer</w:t>
            </w:r>
          </w:p>
        </w:tc>
        <w:tc>
          <w:tcPr>
            <w:tcW w:w="75" w:type="dxa"/>
            <w:tcBorders/>
            <w:tcMar>
              <w:bottom w:w="0" w:type="dxa"/>
            </w:tcMar>
            <w:vAlign w:val="center"/>
          </w:tcPr>
          <w:p>
            <w:pPr>
              <w:pStyle w:val="TableContents"/>
              <w:bidi w:val="0"/>
              <w:spacing w:before="0" w:after="283"/>
              <w:jc w:val="left"/>
              <w:rPr/>
            </w:pPr>
            <w:r>
              <w:rPr/>
              <w:t> </w:t>
            </w:r>
          </w:p>
        </w:tc>
      </w:tr>
      <w:tr>
        <w:trPr/>
        <w:tc>
          <w:tcPr>
            <w:tcW w:w="2360" w:type="dxa"/>
            <w:tcBorders/>
            <w:tcMar>
              <w:bottom w:w="0" w:type="dxa"/>
            </w:tcMar>
            <w:vAlign w:val="center"/>
          </w:tcPr>
          <w:p>
            <w:pPr>
              <w:pStyle w:val="TableContents"/>
              <w:bidi w:val="0"/>
              <w:spacing w:before="0" w:after="283"/>
              <w:jc w:val="left"/>
              <w:rPr>
                <w:sz w:val="20"/>
              </w:rPr>
            </w:pPr>
            <w:r>
              <w:rPr>
                <w:sz w:val="20"/>
              </w:rPr>
              <w:t>(Principal Executive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693" w:name="zapata_ex3102.htm"/>
      <w:bookmarkStart w:id="694" w:name="kszapata_ex3102"/>
      <w:bookmarkEnd w:id="693"/>
      <w:bookmarkEnd w:id="694"/>
      <w:r>
        <w:rPr>
          <w:rFonts w:ascii="Times New Roman;Times;Serif" w:hAnsi="Times New Roman;Times;Serif"/>
          <w:b/>
          <w:i w:val="false"/>
          <w:caps w:val="false"/>
          <w:smallCaps w:val="false"/>
          <w:sz w:val="20"/>
        </w:rPr>
        <w:t>Exhibit 31.2</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OF PRINCIPAL FINANCIAL OFFICER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Sumit Kapur, certify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 have reviewed this quarterly report on Form 10-Q of Zapata Quantum,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14, 2026</w:t>
      </w:r>
    </w:p>
    <w:p>
      <w:pPr>
        <w:pStyle w:val="TextBody"/>
        <w:bidi w:val="0"/>
        <w:spacing w:before="0" w:after="0"/>
        <w:ind w:left="0" w:right="0" w:hanging="0"/>
        <w:jc w:val="both"/>
        <w:rPr>
          <w:caps w:val="false"/>
          <w:smallCaps w:val="false"/>
        </w:rPr>
      </w:pPr>
      <w:r>
        <w:rPr>
          <w:caps w:val="false"/>
          <w:smallCaps w:val="false"/>
        </w:rPr>
        <w:t> </w:t>
      </w:r>
    </w:p>
    <w:tbl>
      <w:tblPr>
        <w:tblW w:w="2375" w:type="dxa"/>
        <w:jc w:val="left"/>
        <w:tblInd w:w="0" w:type="dxa"/>
        <w:tblLayout w:type="fixed"/>
        <w:tblCellMar>
          <w:top w:w="0" w:type="dxa"/>
          <w:left w:w="0" w:type="dxa"/>
          <w:bottom w:w="28" w:type="dxa"/>
          <w:right w:w="0" w:type="dxa"/>
        </w:tblCellMar>
      </w:tblPr>
      <w:tblGrid>
        <w:gridCol w:w="2300"/>
        <w:gridCol w:w="75"/>
      </w:tblGrid>
      <w:tr>
        <w:trPr/>
        <w:tc>
          <w:tcPr>
            <w:tcW w:w="2300" w:type="dxa"/>
            <w:tcBorders>
              <w:bottom w:val="single" w:sz="8" w:space="0" w:color="000000"/>
            </w:tcBorders>
            <w:vAlign w:val="center"/>
          </w:tcPr>
          <w:p>
            <w:pPr>
              <w:pStyle w:val="TableContents"/>
              <w:bidi w:val="0"/>
              <w:spacing w:before="0" w:after="283"/>
              <w:jc w:val="left"/>
              <w:rPr>
                <w:i/>
                <w:sz w:val="20"/>
              </w:rPr>
            </w:pPr>
            <w:r>
              <w:rPr>
                <w:i/>
                <w:sz w:val="20"/>
              </w:rPr>
              <w:t>/s/ Sumit Kapur</w:t>
            </w:r>
          </w:p>
        </w:tc>
        <w:tc>
          <w:tcPr>
            <w:tcW w:w="75" w:type="dxa"/>
            <w:tcBorders/>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283"/>
              <w:jc w:val="left"/>
              <w:rPr>
                <w:sz w:val="20"/>
              </w:rPr>
            </w:pPr>
            <w:r>
              <w:rPr>
                <w:sz w:val="20"/>
              </w:rPr>
              <w:t>Sumit Kapur</w:t>
            </w:r>
          </w:p>
        </w:tc>
        <w:tc>
          <w:tcPr>
            <w:tcW w:w="75" w:type="dxa"/>
            <w:tcBorders/>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283"/>
              <w:jc w:val="left"/>
              <w:rPr>
                <w:sz w:val="20"/>
              </w:rPr>
            </w:pPr>
            <w:r>
              <w:rPr>
                <w:sz w:val="20"/>
              </w:rPr>
              <w:t xml:space="preserve">Chief Financial Officer </w:t>
            </w:r>
          </w:p>
        </w:tc>
        <w:tc>
          <w:tcPr>
            <w:tcW w:w="75" w:type="dxa"/>
            <w:tcBorders/>
            <w:tcMar>
              <w:bottom w:w="0" w:type="dxa"/>
            </w:tcMar>
            <w:vAlign w:val="center"/>
          </w:tcPr>
          <w:p>
            <w:pPr>
              <w:pStyle w:val="TableContents"/>
              <w:bidi w:val="0"/>
              <w:spacing w:before="0" w:after="283"/>
              <w:jc w:val="left"/>
              <w:rPr/>
            </w:pPr>
            <w:r>
              <w:rPr/>
              <w:t> </w:t>
            </w:r>
          </w:p>
        </w:tc>
      </w:tr>
      <w:tr>
        <w:trPr/>
        <w:tc>
          <w:tcPr>
            <w:tcW w:w="2300" w:type="dxa"/>
            <w:tcBorders/>
            <w:tcMar>
              <w:bottom w:w="0" w:type="dxa"/>
            </w:tcMar>
            <w:vAlign w:val="center"/>
          </w:tcPr>
          <w:p>
            <w:pPr>
              <w:pStyle w:val="TableContents"/>
              <w:bidi w:val="0"/>
              <w:spacing w:before="0" w:after="283"/>
              <w:jc w:val="left"/>
              <w:rPr>
                <w:sz w:val="20"/>
              </w:rPr>
            </w:pPr>
            <w:r>
              <w:rPr>
                <w:sz w:val="20"/>
              </w:rPr>
              <w:t>(Principal Financial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695" w:name="zapata_ex3201.htm"/>
      <w:bookmarkStart w:id="696" w:name="kszapata_ex3201"/>
      <w:bookmarkEnd w:id="695"/>
      <w:bookmarkEnd w:id="696"/>
      <w:r>
        <w:rPr>
          <w:b/>
        </w:rPr>
        <w:t>Exhibit 32.1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 18 U.S.C. SECTION 1350,</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 SECTION 906 OF THE SARBANES-OXLEY ACT OF 2002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quarterly report of Zapata Quantum, Inc. (the “Company”) on Form 10-Q for the quarter ended June 30, 2026, as filed with the Securities and Exchange Commission on the date hereof, I, Sumit Kapur, certify, pursuant to 18 U.S.C. Sec.1350, as adopted pursuant to Sec.906 of the Sarbanes-Oxley Act of 2002, that to my knowledge: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quarterly report fully complies with the requirements of section 13(a) or 15(d) of the Securities Exchange Act of 1934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quarterly report fairly presents, in all material respects, the financial condition and results of operations of the Company.</w:t>
      </w:r>
    </w:p>
    <w:p>
      <w:pPr>
        <w:pStyle w:val="TextBody"/>
        <w:bidi w:val="0"/>
        <w:spacing w:before="0" w:after="0"/>
        <w:ind w:left="0" w:right="0" w:hanging="0"/>
        <w:jc w:val="both"/>
        <w:rPr>
          <w:caps w:val="false"/>
          <w:smallCaps w:val="false"/>
        </w:rPr>
      </w:pPr>
      <w:r>
        <w:rPr>
          <w:caps w:val="false"/>
          <w:smallCaps w:val="false"/>
        </w:rPr>
        <w:t> </w:t>
      </w:r>
    </w:p>
    <w:tbl>
      <w:tblPr>
        <w:tblW w:w="4970" w:type="dxa"/>
        <w:jc w:val="left"/>
        <w:tblInd w:w="0" w:type="dxa"/>
        <w:tblLayout w:type="fixed"/>
        <w:tblCellMar>
          <w:top w:w="0" w:type="dxa"/>
          <w:left w:w="0" w:type="dxa"/>
          <w:bottom w:w="28" w:type="dxa"/>
          <w:right w:w="0" w:type="dxa"/>
        </w:tblCellMar>
      </w:tblPr>
      <w:tblGrid>
        <w:gridCol w:w="4895"/>
        <w:gridCol w:w="75"/>
      </w:tblGrid>
      <w:tr>
        <w:trPr/>
        <w:tc>
          <w:tcPr>
            <w:tcW w:w="4895" w:type="dxa"/>
            <w:tcBorders>
              <w:bottom w:val="single" w:sz="8" w:space="0" w:color="000000"/>
            </w:tcBorders>
            <w:vAlign w:val="center"/>
          </w:tcPr>
          <w:p>
            <w:pPr>
              <w:pStyle w:val="TableContents"/>
              <w:bidi w:val="0"/>
              <w:spacing w:before="0" w:after="283"/>
              <w:jc w:val="left"/>
              <w:rPr>
                <w:i/>
                <w:sz w:val="20"/>
              </w:rPr>
            </w:pPr>
            <w:r>
              <w:rPr>
                <w:i/>
                <w:sz w:val="20"/>
              </w:rPr>
              <w:t>/s/ Sumit Kapur</w:t>
            </w:r>
          </w:p>
        </w:tc>
        <w:tc>
          <w:tcPr>
            <w:tcW w:w="75" w:type="dxa"/>
            <w:tcBorders/>
            <w:tcMar>
              <w:bottom w:w="0" w:type="dxa"/>
            </w:tcMar>
            <w:vAlign w:val="center"/>
          </w:tcPr>
          <w:p>
            <w:pPr>
              <w:pStyle w:val="TableContents"/>
              <w:bidi w:val="0"/>
              <w:spacing w:before="0" w:after="283"/>
              <w:jc w:val="left"/>
              <w:rPr/>
            </w:pPr>
            <w:r>
              <w:rPr/>
              <w:t> </w:t>
            </w:r>
          </w:p>
        </w:tc>
      </w:tr>
      <w:tr>
        <w:trPr/>
        <w:tc>
          <w:tcPr>
            <w:tcW w:w="4895" w:type="dxa"/>
            <w:tcBorders/>
            <w:tcMar>
              <w:bottom w:w="0" w:type="dxa"/>
            </w:tcMar>
            <w:vAlign w:val="center"/>
          </w:tcPr>
          <w:p>
            <w:pPr>
              <w:pStyle w:val="TableContents"/>
              <w:bidi w:val="0"/>
              <w:spacing w:before="0" w:after="283"/>
              <w:jc w:val="left"/>
              <w:rPr>
                <w:sz w:val="20"/>
              </w:rPr>
            </w:pPr>
            <w:r>
              <w:rPr>
                <w:sz w:val="20"/>
              </w:rPr>
              <w:t>Sumit Kapur</w:t>
            </w:r>
          </w:p>
        </w:tc>
        <w:tc>
          <w:tcPr>
            <w:tcW w:w="75" w:type="dxa"/>
            <w:tcBorders/>
            <w:tcMar>
              <w:bottom w:w="0" w:type="dxa"/>
            </w:tcMar>
            <w:vAlign w:val="center"/>
          </w:tcPr>
          <w:p>
            <w:pPr>
              <w:pStyle w:val="TableContents"/>
              <w:bidi w:val="0"/>
              <w:spacing w:before="0" w:after="283"/>
              <w:jc w:val="left"/>
              <w:rPr/>
            </w:pPr>
            <w:r>
              <w:rPr/>
              <w:t> </w:t>
            </w:r>
          </w:p>
        </w:tc>
      </w:tr>
      <w:tr>
        <w:trPr/>
        <w:tc>
          <w:tcPr>
            <w:tcW w:w="4895" w:type="dxa"/>
            <w:tcBorders/>
            <w:tcMar>
              <w:bottom w:w="0" w:type="dxa"/>
            </w:tcMar>
            <w:vAlign w:val="center"/>
          </w:tcPr>
          <w:p>
            <w:pPr>
              <w:pStyle w:val="TableContents"/>
              <w:bidi w:val="0"/>
              <w:spacing w:before="0" w:after="283"/>
              <w:jc w:val="left"/>
              <w:rPr>
                <w:sz w:val="20"/>
              </w:rPr>
            </w:pPr>
            <w:r>
              <w:rPr>
                <w:sz w:val="20"/>
              </w:rPr>
              <w:t>Chief Executive Officer and Chief Financial Officer</w:t>
            </w:r>
          </w:p>
        </w:tc>
        <w:tc>
          <w:tcPr>
            <w:tcW w:w="75" w:type="dxa"/>
            <w:tcBorders/>
            <w:tcMar>
              <w:bottom w:w="0" w:type="dxa"/>
            </w:tcMar>
            <w:vAlign w:val="center"/>
          </w:tcPr>
          <w:p>
            <w:pPr>
              <w:pStyle w:val="TableContents"/>
              <w:bidi w:val="0"/>
              <w:spacing w:before="0" w:after="283"/>
              <w:jc w:val="left"/>
              <w:rPr/>
            </w:pPr>
            <w:r>
              <w:rPr/>
              <w:t> </w:t>
            </w:r>
          </w:p>
        </w:tc>
      </w:tr>
      <w:tr>
        <w:trPr/>
        <w:tc>
          <w:tcPr>
            <w:tcW w:w="4895" w:type="dxa"/>
            <w:tcBorders/>
            <w:tcMar>
              <w:bottom w:w="0" w:type="dxa"/>
            </w:tcMar>
            <w:vAlign w:val="center"/>
          </w:tcPr>
          <w:p>
            <w:pPr>
              <w:pStyle w:val="TableContents"/>
              <w:bidi w:val="0"/>
              <w:spacing w:before="0" w:after="283"/>
              <w:jc w:val="left"/>
              <w:rPr>
                <w:sz w:val="20"/>
              </w:rPr>
            </w:pPr>
            <w:r>
              <w:rPr>
                <w:sz w:val="20"/>
              </w:rPr>
              <w:t>(Principal Executive Officer and Principal Financial Officer)</w:t>
            </w:r>
          </w:p>
        </w:tc>
        <w:tc>
          <w:tcPr>
            <w:tcW w:w="7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3714/000119312523229092/d539142dex21.htm" TargetMode="External"/><Relationship Id="rId3" Type="http://schemas.openxmlformats.org/officeDocument/2006/relationships/hyperlink" Target="https://www.sec.gov/Archives/edgar/data/1843714/000119312524085161/d13242dex31.htm" TargetMode="External"/><Relationship Id="rId4" Type="http://schemas.openxmlformats.org/officeDocument/2006/relationships/hyperlink" Target="https://www.sec.gov/Archives/edgar/data/1843714/000107997325001390/ex3x1.htm" TargetMode="External"/><Relationship Id="rId5" Type="http://schemas.openxmlformats.org/officeDocument/2006/relationships/hyperlink" Target="https://www.sec.gov/Archives/edgar/data/1843714/000107997325001650/ex4x1.htm" TargetMode="External"/><Relationship Id="rId6" Type="http://schemas.openxmlformats.org/officeDocument/2006/relationships/hyperlink" Target="https://www.sec.gov/Archives/edgar/data/1843714/000107997325001182/ex4x1.htm" TargetMode="External"/><Relationship Id="rId7" Type="http://schemas.openxmlformats.org/officeDocument/2006/relationships/hyperlink" Target="https://www.sec.gov/Archives/edgar/data/1843714/000107997325001665/ex4x1.htm" TargetMode="External"/><Relationship Id="rId8" Type="http://schemas.openxmlformats.org/officeDocument/2006/relationships/hyperlink" Target="https://www.sec.gov/Archives/edgar/data/1843714/000107997326000454/ex3x1.htm" TargetMode="External"/><Relationship Id="rId9" Type="http://schemas.openxmlformats.org/officeDocument/2006/relationships/hyperlink" Target="https://www.sec.gov/Archives/edgar/data/1843714/000119312524085161/d13242dex32.htm" TargetMode="External"/><Relationship Id="rId10" Type="http://schemas.openxmlformats.org/officeDocument/2006/relationships/hyperlink" Target="https://www.sec.gov/Archives/edgar/data/1843714/000155335025000061/ex4x1.htm" TargetMode="External"/><Relationship Id="rId11" Type="http://schemas.openxmlformats.org/officeDocument/2006/relationships/hyperlink" Target="https://www.sec.gov/Archives/edgar/data/1843714/000155335025000061/ex4x2.htm" TargetMode="External"/><Relationship Id="rId12" Type="http://schemas.openxmlformats.org/officeDocument/2006/relationships/hyperlink" Target="https://www.sec.gov/Archives/edgar/data/1843714/000107997326000454/ex4x1.htm" TargetMode="External"/><Relationship Id="rId13" Type="http://schemas.openxmlformats.org/officeDocument/2006/relationships/hyperlink" Target="https://www.sec.gov/Archives/edgar/data/1843714/000155335025000061/ex10x1.htm" TargetMode="External"/><Relationship Id="rId14" Type="http://schemas.openxmlformats.org/officeDocument/2006/relationships/hyperlink" Target="https://www.sec.gov/Archives/edgar/data/1843714/000155335025000061/ex10x2.htm" TargetMode="External"/><Relationship Id="rId15" Type="http://schemas.openxmlformats.org/officeDocument/2006/relationships/hyperlink" Target="https://www.sec.gov/Archives/edgar/data/1843714/000155335025000061/ex10x3.htm" TargetMode="External"/><Relationship Id="rId16" Type="http://schemas.openxmlformats.org/officeDocument/2006/relationships/hyperlink" Target="https://www.sec.gov/Archives/edgar/data/1843714/000155335025000061/ex10x4.htm" TargetMode="External"/><Relationship Id="rId17" Type="http://schemas.openxmlformats.org/officeDocument/2006/relationships/hyperlink" Target="https://www.sec.gov/Archives/edgar/data/1843714/000155335025000061/ex10x5.htm" TargetMode="External"/><Relationship Id="rId18" Type="http://schemas.openxmlformats.org/officeDocument/2006/relationships/hyperlink" Target="https://www.sec.gov/Archives/edgar/data/1843714/000155335025000061/ex10x6.htm" TargetMode="External"/><Relationship Id="rId19" Type="http://schemas.openxmlformats.org/officeDocument/2006/relationships/hyperlink" Target="https://www.sec.gov/Archives/edgar/data/1843714/000107997325001613/ex10x1.htm" TargetMode="External"/><Relationship Id="rId20" Type="http://schemas.openxmlformats.org/officeDocument/2006/relationships/hyperlink" Target="https://www.sec.gov/Archives/edgar/data/1843714/000107997325001650/ex10x1.htm" TargetMode="External"/><Relationship Id="rId21" Type="http://schemas.openxmlformats.org/officeDocument/2006/relationships/hyperlink" Target="https://www.sec.gov/Archives/edgar/data/1843714/000107997325001650/ex10x2.htm" TargetMode="External"/><Relationship Id="rId22" Type="http://schemas.openxmlformats.org/officeDocument/2006/relationships/hyperlink" Target="https://www.sec.gov/Archives/edgar/data/1843714/000107997326000454/ex10x1.htm" TargetMode="External"/><Relationship Id="rId23" Type="http://schemas.openxmlformats.org/officeDocument/2006/relationships/hyperlink" Target="https://www.sec.gov/Archives/edgar/data/1843714/000107997326000454/ex10x2.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19057</Words>
  <Characters>107432</Characters>
  <CharactersWithSpaces>128863</CharactersWithSpaces>
  <Paragraphs>6440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