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0" w:name="zapata_424b3.htm"/>
      <w:bookmarkStart w:id="1" w:name="kszapata_424b3"/>
      <w:bookmarkEnd w:id="0"/>
      <w:bookmarkEnd w:id="1"/>
      <w:r>
        <w:rPr>
          <w:rFonts w:ascii="Times New Roman;Times;Serif" w:hAnsi="Times New Roman;Times;Serif"/>
          <w:b/>
          <w:i w:val="false"/>
          <w:caps w:val="false"/>
          <w:smallCaps w:val="false"/>
          <w:sz w:val="20"/>
        </w:rPr>
        <w:t>Filed Pursuant to Rule 424(b)(3)</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333-296525</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August 10,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Zapata Quantum,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56,816,391 Shares of Common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August 10, 2026 (the “Prospectus”), which forms a part of the registration statement on Form S-1 (No. 333-296525) filed by Zapata Quantum, Inc. (the “Company”). The Prospectus relates to the offering and resale by the selling stockholders identified in the Prospectus of up to 56,816,391 shares of the Company’s common stock, as more particularly described therein. This prospectus supplement is being filed to update and supplement the information in the Prospectus with the information contained in our Quarterly Report on Form 10-Q, filed with the Securities and Exchange Commission on August 14, 2026 (the “Report”). Accordingly, we have attached the Report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firstLine="612"/>
        <w:jc w:val="both"/>
        <w:rPr>
          <w:caps w:val="false"/>
          <w:smallCaps w:val="false"/>
        </w:rPr>
      </w:pPr>
      <w:r>
        <w:rPr>
          <w:caps w:val="false"/>
          <w:smallCaps w:val="false"/>
        </w:rPr>
        <w:t> </w:t>
      </w:r>
    </w:p>
    <w:p>
      <w:pPr>
        <w:pStyle w:val="TextBody"/>
        <w:shd w:fill="FFFFFF" w:val="clear"/>
        <w:bidi w:val="0"/>
        <w:spacing w:before="0" w:after="0"/>
        <w:ind w:left="0" w:right="0" w:firstLine="612"/>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8 of the Prospectus as well as risks and uncertainties described under similar headings in any amendments or supplements to the Prospectus to read about factors you should consider before buying our securities.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001-41218</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28" w:type="dxa"/>
          <w:right w:w="0" w:type="dxa"/>
        </w:tblCellMar>
      </w:tblPr>
      <w:tblGrid>
        <w:gridCol w:w="4040"/>
      </w:tblGrid>
      <w:tr>
        <w:trPr/>
        <w:tc>
          <w:tcPr>
            <w:tcW w:w="4040" w:type="dxa"/>
            <w:tcBorders>
              <w:bottom w:val="single" w:sz="8" w:space="0" w:color="000000"/>
            </w:tcBorders>
            <w:vAlign w:val="center"/>
          </w:tcPr>
          <w:p>
            <w:pPr>
              <w:pStyle w:val="TableContents"/>
              <w:bidi w:val="0"/>
              <w:spacing w:before="0" w:after="283"/>
              <w:jc w:val="center"/>
              <w:rPr>
                <w:b/>
                <w:sz w:val="28"/>
              </w:rPr>
            </w:pPr>
            <w:r>
              <w:rPr>
                <w:b/>
                <w:sz w:val="28"/>
              </w:rPr>
              <w:t>Zapata Quantum, Inc.</w:t>
            </w:r>
          </w:p>
        </w:tc>
      </w:tr>
      <w:tr>
        <w:trPr/>
        <w:tc>
          <w:tcPr>
            <w:tcW w:w="4040" w:type="dxa"/>
            <w:tcBorders/>
            <w:tcMar>
              <w:bottom w:w="0" w:type="dxa"/>
            </w:tcMar>
            <w:vAlign w:val="center"/>
          </w:tcPr>
          <w:p>
            <w:pPr>
              <w:pStyle w:val="TableContents"/>
              <w:bidi w:val="0"/>
              <w:spacing w:before="0" w:after="283"/>
              <w:jc w:val="center"/>
              <w:rPr>
                <w:i/>
                <w:sz w:val="20"/>
              </w:rPr>
            </w:pPr>
            <w:r>
              <w:rPr>
                <w:i/>
                <w:sz w:val="20"/>
              </w:rPr>
              <w:t>(Exact name of registrant as specified in charter)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2585"/>
        <w:gridCol w:w="60"/>
        <w:gridCol w:w="1550"/>
      </w:tblGrid>
      <w:tr>
        <w:trPr/>
        <w:tc>
          <w:tcPr>
            <w:tcW w:w="2585" w:type="dxa"/>
            <w:tcBorders>
              <w:bottom w:val="single" w:sz="8"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b/>
                <w:sz w:val="20"/>
              </w:rPr>
            </w:pPr>
            <w:r>
              <w:rPr>
                <w:b/>
                <w:sz w:val="20"/>
              </w:rPr>
              <w:t>98-1578373</w:t>
            </w:r>
          </w:p>
        </w:tc>
      </w:tr>
      <w:tr>
        <w:trPr/>
        <w:tc>
          <w:tcPr>
            <w:tcW w:w="2585" w:type="dxa"/>
            <w:tcBorders/>
            <w:tcMar>
              <w:bottom w:w="0" w:type="dxa"/>
            </w:tcMar>
            <w:vAlign w:val="center"/>
          </w:tcPr>
          <w:p>
            <w:pPr>
              <w:pStyle w:val="TableContents"/>
              <w:bidi w:val="0"/>
              <w:spacing w:before="0" w:after="283"/>
              <w:jc w:val="center"/>
              <w:rPr>
                <w:sz w:val="20"/>
              </w:rPr>
            </w:pPr>
            <w:r>
              <w:rPr>
                <w:i/>
                <w:sz w:val="20"/>
              </w:rPr>
              <w:t>(State or other jurisdiction of</w:t>
            </w:r>
            <w:r>
              <w:rPr>
                <w:sz w:val="20"/>
              </w:rPr>
              <w:br/>
            </w:r>
            <w:r>
              <w:rPr>
                <w:i/>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i/>
                <w:sz w:val="20"/>
              </w:rPr>
              <w:t>(I.R.S. Employer</w:t>
            </w:r>
            <w:r>
              <w:rPr>
                <w:sz w:val="20"/>
              </w:rPr>
              <w:br/>
            </w:r>
            <w:r>
              <w:rPr>
                <w:i/>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28" w:type="dxa"/>
          <w:right w:w="0" w:type="dxa"/>
        </w:tblCellMar>
      </w:tblPr>
      <w:tblGrid>
        <w:gridCol w:w="3215"/>
        <w:gridCol w:w="60"/>
        <w:gridCol w:w="905"/>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Liberty Square, #2488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b/>
                <w:sz w:val="20"/>
              </w:rPr>
            </w:pPr>
            <w:r>
              <w:rPr>
                <w:b/>
                <w:sz w:val="20"/>
              </w:rPr>
              <w:t>02109</w:t>
            </w:r>
          </w:p>
        </w:tc>
      </w:tr>
      <w:tr>
        <w:trPr/>
        <w:tc>
          <w:tcPr>
            <w:tcW w:w="3215" w:type="dxa"/>
            <w:tcBorders/>
            <w:tcMar>
              <w:bottom w:w="0" w:type="dxa"/>
            </w:tcMar>
            <w:vAlign w:val="center"/>
          </w:tcPr>
          <w:p>
            <w:pPr>
              <w:pStyle w:val="TableContents"/>
              <w:bidi w:val="0"/>
              <w:spacing w:before="0" w:after="283"/>
              <w:jc w:val="center"/>
              <w:rPr>
                <w:i/>
                <w:sz w:val="20"/>
              </w:rPr>
            </w:pPr>
            <w:r>
              <w:rPr>
                <w:i/>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i/>
                <w:sz w:val="20"/>
              </w:rPr>
            </w:pPr>
            <w:r>
              <w:rPr>
                <w:i/>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center"/>
              <w:rPr>
                <w:b/>
                <w:sz w:val="20"/>
              </w:rPr>
            </w:pPr>
            <w:r>
              <w:rPr>
                <w:b/>
                <w:sz w:val="20"/>
              </w:rPr>
              <w:t>(857) 367-9002</w:t>
            </w:r>
          </w:p>
        </w:tc>
      </w:tr>
      <w:tr>
        <w:trPr/>
        <w:tc>
          <w:tcPr>
            <w:tcW w:w="4415" w:type="dxa"/>
            <w:tcBorders/>
            <w:vAlign w:val="center"/>
          </w:tcPr>
          <w:p>
            <w:pPr>
              <w:pStyle w:val="TableContents"/>
              <w:bidi w:val="0"/>
              <w:spacing w:before="0" w:after="283"/>
              <w:jc w:val="center"/>
              <w:rPr>
                <w:i/>
                <w:sz w:val="20"/>
              </w:rPr>
            </w:pPr>
            <w:r>
              <w:rPr>
                <w:i/>
                <w:sz w:val="20"/>
              </w:rPr>
              <w:t>(Registrant’s telephone number, including area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1820"/>
        <w:gridCol w:w="230"/>
        <w:gridCol w:w="2225"/>
        <w:gridCol w:w="24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 issuer had 187,328,921 shares of its common stock, $0.0001 par value per share,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
        <w:gridCol w:w="9175"/>
        <w:gridCol w:w="456"/>
      </w:tblGrid>
      <w:tr>
        <w:trPr/>
        <w:tc>
          <w:tcPr>
            <w:tcW w:w="574"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 </w:t>
            </w:r>
          </w:p>
        </w:tc>
        <w:tc>
          <w:tcPr>
            <w:tcW w:w="45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center"/>
              <w:rPr/>
            </w:pPr>
            <w:hyperlink w:anchor="q2_001">
              <w:r>
                <w:rPr>
                  <w:rStyle w:val="InternetLink"/>
                  <w:b/>
                  <w:sz w:val="20"/>
                </w:rPr>
                <w:t>PART I - Financial Information</w:t>
              </w:r>
            </w:hyperlink>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574" w:type="dxa"/>
            <w:tcBorders/>
            <w:shd w:fill="CCEEFF" w:val="clear"/>
            <w:vAlign w:val="center"/>
          </w:tcPr>
          <w:p>
            <w:pPr>
              <w:pStyle w:val="TableContents"/>
              <w:bidi w:val="0"/>
              <w:spacing w:before="0" w:after="283"/>
              <w:jc w:val="left"/>
              <w:rPr>
                <w:sz w:val="20"/>
              </w:rPr>
            </w:pPr>
            <w:r>
              <w:rPr>
                <w:sz w:val="20"/>
              </w:rPr>
              <w:t>Item 1</w:t>
            </w:r>
          </w:p>
        </w:tc>
        <w:tc>
          <w:tcPr>
            <w:tcW w:w="9175" w:type="dxa"/>
            <w:tcBorders/>
            <w:shd w:fill="CCEEFF" w:val="clear"/>
            <w:vAlign w:val="center"/>
          </w:tcPr>
          <w:p>
            <w:pPr>
              <w:pStyle w:val="TableContents"/>
              <w:bidi w:val="0"/>
              <w:spacing w:before="0" w:after="283"/>
              <w:jc w:val="left"/>
              <w:rPr/>
            </w:pPr>
            <w:hyperlink w:anchor="q2_002">
              <w:r>
                <w:rPr>
                  <w:rStyle w:val="InternetLink"/>
                  <w:sz w:val="20"/>
                </w:rPr>
                <w:t>Financial Statements</w:t>
              </w:r>
            </w:hyperlink>
          </w:p>
        </w:tc>
        <w:tc>
          <w:tcPr>
            <w:tcW w:w="456" w:type="dxa"/>
            <w:tcBorders/>
            <w:shd w:fill="CCEEFF" w:val="clear"/>
            <w:vAlign w:val="center"/>
          </w:tcPr>
          <w:p>
            <w:pPr>
              <w:pStyle w:val="TableContents"/>
              <w:bidi w:val="0"/>
              <w:spacing w:before="0" w:after="283"/>
              <w:jc w:val="center"/>
              <w:rPr/>
            </w:pPr>
            <w:r>
              <w:rPr/>
              <w:t>3</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3">
              <w:r>
                <w:rPr>
                  <w:rStyle w:val="InternetLink"/>
                  <w:sz w:val="20"/>
                </w:rPr>
                <w:t>Condensed Consolidated Balance Sheets – As of June 30, 2026 (Unaudited) and December 31, 2025</w:t>
              </w:r>
            </w:hyperlink>
          </w:p>
        </w:tc>
        <w:tc>
          <w:tcPr>
            <w:tcW w:w="456" w:type="dxa"/>
            <w:tcBorders/>
            <w:shd w:fill="FFFFFF" w:val="clear"/>
            <w:vAlign w:val="center"/>
          </w:tcPr>
          <w:p>
            <w:pPr>
              <w:pStyle w:val="TableContents"/>
              <w:bidi w:val="0"/>
              <w:spacing w:before="0" w:after="283"/>
              <w:jc w:val="center"/>
              <w:rPr>
                <w:sz w:val="20"/>
              </w:rPr>
            </w:pPr>
            <w:r>
              <w:rPr>
                <w:sz w:val="20"/>
              </w:rPr>
              <w:t>3</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hyperlink w:anchor="q2_004">
              <w:r>
                <w:rPr>
                  <w:rStyle w:val="InternetLink"/>
                  <w:sz w:val="20"/>
                </w:rPr>
                <w:t>Condensed Consolidated Statements of Operations and Comprehensive Loss (Unaudited) – For the Three and Six Months Ended June 30, 2026 and 2025</w:t>
              </w:r>
            </w:hyperlink>
          </w:p>
        </w:tc>
        <w:tc>
          <w:tcPr>
            <w:tcW w:w="456" w:type="dxa"/>
            <w:tcBorders/>
            <w:shd w:fill="CCEEFF" w:val="clear"/>
            <w:vAlign w:val="center"/>
          </w:tcPr>
          <w:p>
            <w:pPr>
              <w:pStyle w:val="TableContents"/>
              <w:bidi w:val="0"/>
              <w:spacing w:before="0" w:after="283"/>
              <w:jc w:val="center"/>
              <w:rPr>
                <w:sz w:val="20"/>
              </w:rPr>
            </w:pPr>
            <w:r>
              <w:rPr>
                <w:sz w:val="20"/>
              </w:rPr>
              <w:t>4</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5">
              <w:r>
                <w:rPr>
                  <w:rStyle w:val="InternetLink"/>
                  <w:sz w:val="20"/>
                </w:rPr>
                <w:t>Condensed Consolidated Statements of Convertible Preferred Stock and Stockholders’ Deficit (Unaudited) – For the Three and Six Months Ended June 30, 2026 and 2025</w:t>
              </w:r>
            </w:hyperlink>
          </w:p>
        </w:tc>
        <w:tc>
          <w:tcPr>
            <w:tcW w:w="456" w:type="dxa"/>
            <w:tcBorders/>
            <w:shd w:fill="FFFFFF" w:val="clear"/>
            <w:vAlign w:val="center"/>
          </w:tcPr>
          <w:p>
            <w:pPr>
              <w:pStyle w:val="TableContents"/>
              <w:bidi w:val="0"/>
              <w:spacing w:before="0" w:after="283"/>
              <w:jc w:val="center"/>
              <w:rPr/>
            </w:pPr>
            <w:r>
              <w:rPr/>
              <w:t>5</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hyperlink w:anchor="q2_006">
              <w:r>
                <w:rPr>
                  <w:rStyle w:val="InternetLink"/>
                  <w:sz w:val="20"/>
                </w:rPr>
                <w:t>Condensed Consolidated Statements of Cash Flows (Unaudited) – For the Six Months Ended June 30, 2026 and 2025</w:t>
              </w:r>
            </w:hyperlink>
          </w:p>
        </w:tc>
        <w:tc>
          <w:tcPr>
            <w:tcW w:w="456" w:type="dxa"/>
            <w:tcBorders/>
            <w:shd w:fill="CCEEFF" w:val="clear"/>
            <w:vAlign w:val="center"/>
          </w:tcPr>
          <w:p>
            <w:pPr>
              <w:pStyle w:val="TableContents"/>
              <w:bidi w:val="0"/>
              <w:spacing w:before="0" w:after="283"/>
              <w:jc w:val="center"/>
              <w:rPr/>
            </w:pPr>
            <w:r>
              <w:rPr/>
              <w:t>7</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7">
              <w:r>
                <w:rPr>
                  <w:rStyle w:val="InternetLink"/>
                  <w:sz w:val="20"/>
                </w:rPr>
                <w:t>Notes to Condensed Consolidated Financial Statements (Unaudited)</w:t>
              </w:r>
            </w:hyperlink>
          </w:p>
        </w:tc>
        <w:tc>
          <w:tcPr>
            <w:tcW w:w="456" w:type="dxa"/>
            <w:tcBorders/>
            <w:shd w:fill="FFFFFF" w:val="clear"/>
            <w:vAlign w:val="center"/>
          </w:tcPr>
          <w:p>
            <w:pPr>
              <w:pStyle w:val="TableContents"/>
              <w:bidi w:val="0"/>
              <w:spacing w:before="0" w:after="283"/>
              <w:jc w:val="center"/>
              <w:rPr>
                <w:sz w:val="20"/>
              </w:rPr>
            </w:pPr>
            <w:r>
              <w:rPr>
                <w:sz w:val="20"/>
              </w:rPr>
              <w:t>8</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sz w:val="20"/>
              </w:rPr>
            </w:pPr>
            <w:r>
              <w:rPr>
                <w:sz w:val="20"/>
              </w:rPr>
              <w:t>Item 2</w:t>
            </w:r>
          </w:p>
        </w:tc>
        <w:tc>
          <w:tcPr>
            <w:tcW w:w="9175" w:type="dxa"/>
            <w:tcBorders/>
            <w:shd w:fill="FFFFFF" w:val="clear"/>
            <w:vAlign w:val="center"/>
          </w:tcPr>
          <w:p>
            <w:pPr>
              <w:pStyle w:val="TableContents"/>
              <w:bidi w:val="0"/>
              <w:spacing w:before="0" w:after="283"/>
              <w:jc w:val="both"/>
              <w:rPr/>
            </w:pPr>
            <w:hyperlink w:anchor="q2_008">
              <w:r>
                <w:rPr>
                  <w:rStyle w:val="InternetLink"/>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sz w:val="20"/>
              </w:rPr>
            </w:pPr>
            <w:r>
              <w:rPr>
                <w:sz w:val="20"/>
              </w:rPr>
              <w:t>22</w:t>
            </w:r>
          </w:p>
        </w:tc>
      </w:tr>
      <w:tr>
        <w:trPr/>
        <w:tc>
          <w:tcPr>
            <w:tcW w:w="574" w:type="dxa"/>
            <w:tcBorders/>
            <w:shd w:fill="CCEEFF" w:val="clear"/>
            <w:vAlign w:val="center"/>
          </w:tcPr>
          <w:p>
            <w:pPr>
              <w:pStyle w:val="TableContents"/>
              <w:bidi w:val="0"/>
              <w:spacing w:before="0" w:after="283"/>
              <w:jc w:val="left"/>
              <w:rPr>
                <w:sz w:val="20"/>
              </w:rPr>
            </w:pPr>
            <w:r>
              <w:rPr>
                <w:sz w:val="20"/>
              </w:rPr>
              <w:t>Item 3</w:t>
            </w:r>
          </w:p>
        </w:tc>
        <w:tc>
          <w:tcPr>
            <w:tcW w:w="9175" w:type="dxa"/>
            <w:tcBorders/>
            <w:shd w:fill="CCEEFF" w:val="clear"/>
            <w:vAlign w:val="center"/>
          </w:tcPr>
          <w:p>
            <w:pPr>
              <w:pStyle w:val="TableContents"/>
              <w:bidi w:val="0"/>
              <w:spacing w:before="0" w:after="283"/>
              <w:jc w:val="both"/>
              <w:rPr/>
            </w:pPr>
            <w:hyperlink w:anchor="q2_009">
              <w:r>
                <w:rPr>
                  <w:rStyle w:val="InternetLink"/>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sz w:val="20"/>
              </w:rPr>
            </w:pPr>
            <w:r>
              <w:rPr>
                <w:sz w:val="20"/>
              </w:rPr>
              <w:t>30</w:t>
            </w:r>
          </w:p>
        </w:tc>
      </w:tr>
      <w:tr>
        <w:trPr/>
        <w:tc>
          <w:tcPr>
            <w:tcW w:w="574" w:type="dxa"/>
            <w:tcBorders/>
            <w:shd w:fill="FFFFFF" w:val="clear"/>
            <w:vAlign w:val="center"/>
          </w:tcPr>
          <w:p>
            <w:pPr>
              <w:pStyle w:val="TableContents"/>
              <w:bidi w:val="0"/>
              <w:spacing w:before="0" w:after="283"/>
              <w:jc w:val="left"/>
              <w:rPr>
                <w:sz w:val="20"/>
              </w:rPr>
            </w:pPr>
            <w:r>
              <w:rPr>
                <w:sz w:val="20"/>
              </w:rPr>
              <w:t>Item 4</w:t>
            </w:r>
          </w:p>
        </w:tc>
        <w:tc>
          <w:tcPr>
            <w:tcW w:w="9175" w:type="dxa"/>
            <w:tcBorders/>
            <w:shd w:fill="FFFFFF" w:val="clear"/>
            <w:vAlign w:val="center"/>
          </w:tcPr>
          <w:p>
            <w:pPr>
              <w:pStyle w:val="TableContents"/>
              <w:bidi w:val="0"/>
              <w:spacing w:before="0" w:after="283"/>
              <w:jc w:val="both"/>
              <w:rPr/>
            </w:pPr>
            <w:hyperlink w:anchor="q2_010">
              <w:r>
                <w:rPr>
                  <w:rStyle w:val="InternetLink"/>
                  <w:sz w:val="20"/>
                </w:rPr>
                <w:t>Controls and Procedures</w:t>
              </w:r>
            </w:hyperlink>
          </w:p>
        </w:tc>
        <w:tc>
          <w:tcPr>
            <w:tcW w:w="456" w:type="dxa"/>
            <w:tcBorders/>
            <w:shd w:fill="FFFFFF" w:val="clear"/>
            <w:vAlign w:val="center"/>
          </w:tcPr>
          <w:p>
            <w:pPr>
              <w:pStyle w:val="TableContents"/>
              <w:bidi w:val="0"/>
              <w:spacing w:before="0" w:after="283"/>
              <w:jc w:val="center"/>
              <w:rPr>
                <w:sz w:val="20"/>
              </w:rPr>
            </w:pPr>
            <w:r>
              <w:rPr>
                <w:sz w:val="20"/>
              </w:rPr>
              <w:t>30</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center"/>
              <w:rPr/>
            </w:pPr>
            <w:hyperlink w:anchor="q2_011">
              <w:r>
                <w:rPr>
                  <w:rStyle w:val="InternetLink"/>
                  <w:b/>
                  <w:sz w:val="20"/>
                </w:rPr>
                <w:t>Part II - Other Information</w:t>
              </w:r>
            </w:hyperlink>
          </w:p>
        </w:tc>
        <w:tc>
          <w:tcPr>
            <w:tcW w:w="456" w:type="dxa"/>
            <w:tcBorders/>
            <w:shd w:fill="FFFFFF" w:val="clear"/>
            <w:vAlign w:val="center"/>
          </w:tcPr>
          <w:p>
            <w:pPr>
              <w:pStyle w:val="TableContents"/>
              <w:bidi w:val="0"/>
              <w:spacing w:before="0" w:after="283"/>
              <w:jc w:val="center"/>
              <w:rPr/>
            </w:pPr>
            <w:r>
              <w:rPr/>
              <w:t> </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sz w:val="20"/>
              </w:rPr>
            </w:pPr>
            <w:r>
              <w:rPr>
                <w:sz w:val="20"/>
              </w:rPr>
              <w:t>Item 1</w:t>
            </w:r>
          </w:p>
        </w:tc>
        <w:tc>
          <w:tcPr>
            <w:tcW w:w="9175" w:type="dxa"/>
            <w:tcBorders/>
            <w:shd w:fill="FFFFFF" w:val="clear"/>
            <w:vAlign w:val="center"/>
          </w:tcPr>
          <w:p>
            <w:pPr>
              <w:pStyle w:val="TableContents"/>
              <w:bidi w:val="0"/>
              <w:spacing w:before="0" w:after="283"/>
              <w:jc w:val="left"/>
              <w:rPr/>
            </w:pPr>
            <w:hyperlink w:anchor="q2_012">
              <w:r>
                <w:rPr>
                  <w:rStyle w:val="InternetLink"/>
                  <w:sz w:val="20"/>
                </w:rPr>
                <w:t>Legal Proceedings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1A</w:t>
            </w:r>
          </w:p>
        </w:tc>
        <w:tc>
          <w:tcPr>
            <w:tcW w:w="9175" w:type="dxa"/>
            <w:tcBorders/>
            <w:shd w:fill="CCEEFF" w:val="clear"/>
            <w:vAlign w:val="center"/>
          </w:tcPr>
          <w:p>
            <w:pPr>
              <w:pStyle w:val="TableContents"/>
              <w:bidi w:val="0"/>
              <w:spacing w:before="0" w:after="283"/>
              <w:jc w:val="left"/>
              <w:rPr/>
            </w:pPr>
            <w:hyperlink w:anchor="q2_013">
              <w:r>
                <w:rPr>
                  <w:rStyle w:val="InternetLink"/>
                  <w:sz w:val="20"/>
                </w:rPr>
                <w:t>Risk Factors</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2</w:t>
            </w:r>
          </w:p>
        </w:tc>
        <w:tc>
          <w:tcPr>
            <w:tcW w:w="9175" w:type="dxa"/>
            <w:tcBorders/>
            <w:shd w:fill="FFFFFF" w:val="clear"/>
            <w:vAlign w:val="center"/>
          </w:tcPr>
          <w:p>
            <w:pPr>
              <w:pStyle w:val="TableContents"/>
              <w:bidi w:val="0"/>
              <w:spacing w:before="0" w:after="283"/>
              <w:jc w:val="left"/>
              <w:rPr/>
            </w:pPr>
            <w:hyperlink w:anchor="q2_014">
              <w:r>
                <w:rPr>
                  <w:rStyle w:val="InternetLink"/>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3</w:t>
            </w:r>
          </w:p>
        </w:tc>
        <w:tc>
          <w:tcPr>
            <w:tcW w:w="9175" w:type="dxa"/>
            <w:tcBorders/>
            <w:shd w:fill="CCEEFF" w:val="clear"/>
            <w:vAlign w:val="center"/>
          </w:tcPr>
          <w:p>
            <w:pPr>
              <w:pStyle w:val="TableContents"/>
              <w:bidi w:val="0"/>
              <w:spacing w:before="0" w:after="283"/>
              <w:jc w:val="left"/>
              <w:rPr/>
            </w:pPr>
            <w:hyperlink w:anchor="q2_015">
              <w:r>
                <w:rPr>
                  <w:rStyle w:val="InternetLink"/>
                  <w:sz w:val="20"/>
                </w:rPr>
                <w:t>Defaults Upon Senior Securities</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4</w:t>
            </w:r>
          </w:p>
        </w:tc>
        <w:tc>
          <w:tcPr>
            <w:tcW w:w="9175" w:type="dxa"/>
            <w:tcBorders/>
            <w:shd w:fill="FFFFFF" w:val="clear"/>
            <w:vAlign w:val="center"/>
          </w:tcPr>
          <w:p>
            <w:pPr>
              <w:pStyle w:val="TableContents"/>
              <w:bidi w:val="0"/>
              <w:spacing w:before="0" w:after="283"/>
              <w:jc w:val="left"/>
              <w:rPr/>
            </w:pPr>
            <w:hyperlink w:anchor="q2_016">
              <w:r>
                <w:rPr>
                  <w:rStyle w:val="InternetLink"/>
                  <w:sz w:val="20"/>
                </w:rPr>
                <w:t>Mine Safety Disclosures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5</w:t>
            </w:r>
          </w:p>
        </w:tc>
        <w:tc>
          <w:tcPr>
            <w:tcW w:w="9175" w:type="dxa"/>
            <w:tcBorders/>
            <w:shd w:fill="CCEEFF" w:val="clear"/>
            <w:vAlign w:val="center"/>
          </w:tcPr>
          <w:p>
            <w:pPr>
              <w:pStyle w:val="TableContents"/>
              <w:bidi w:val="0"/>
              <w:spacing w:before="0" w:after="283"/>
              <w:jc w:val="left"/>
              <w:rPr/>
            </w:pPr>
            <w:hyperlink w:anchor="q2_017">
              <w:r>
                <w:rPr>
                  <w:rStyle w:val="InternetLink"/>
                  <w:sz w:val="20"/>
                </w:rPr>
                <w:t>Other Information</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6</w:t>
            </w:r>
          </w:p>
        </w:tc>
        <w:tc>
          <w:tcPr>
            <w:tcW w:w="9175" w:type="dxa"/>
            <w:tcBorders/>
            <w:shd w:fill="FFFFFF" w:val="clear"/>
            <w:vAlign w:val="center"/>
          </w:tcPr>
          <w:p>
            <w:pPr>
              <w:pStyle w:val="TableContents"/>
              <w:bidi w:val="0"/>
              <w:spacing w:before="0" w:after="283"/>
              <w:jc w:val="left"/>
              <w:rPr/>
            </w:pPr>
            <w:hyperlink w:anchor="q2_018">
              <w:r>
                <w:rPr>
                  <w:rStyle w:val="InternetLink"/>
                  <w:sz w:val="20"/>
                </w:rPr>
                <w:t>Exhibits</w:t>
              </w:r>
            </w:hyperlink>
          </w:p>
        </w:tc>
        <w:tc>
          <w:tcPr>
            <w:tcW w:w="456" w:type="dxa"/>
            <w:tcBorders/>
            <w:shd w:fill="FFFFFF" w:val="clear"/>
            <w:vAlign w:val="center"/>
          </w:tcPr>
          <w:p>
            <w:pPr>
              <w:pStyle w:val="TableContents"/>
              <w:bidi w:val="0"/>
              <w:spacing w:before="0" w:after="283"/>
              <w:jc w:val="center"/>
              <w:rPr>
                <w:sz w:val="20"/>
              </w:rPr>
            </w:pPr>
            <w:r>
              <w:rPr>
                <w:sz w:val="20"/>
              </w:rPr>
              <w:t>33</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9749" w:type="dxa"/>
            <w:gridSpan w:val="2"/>
            <w:tcBorders/>
            <w:shd w:fill="FFFFFF" w:val="clear"/>
            <w:vAlign w:val="center"/>
          </w:tcPr>
          <w:p>
            <w:pPr>
              <w:pStyle w:val="TableContents"/>
              <w:bidi w:val="0"/>
              <w:spacing w:before="0" w:after="283"/>
              <w:jc w:val="left"/>
              <w:rPr/>
            </w:pPr>
            <w:hyperlink w:anchor="q2_019">
              <w:r>
                <w:rPr>
                  <w:rStyle w:val="InternetLink"/>
                  <w:sz w:val="20"/>
                </w:rPr>
                <w:t>Signatures</w:t>
              </w:r>
            </w:hyperlink>
          </w:p>
        </w:tc>
        <w:tc>
          <w:tcPr>
            <w:tcW w:w="456" w:type="dxa"/>
            <w:tcBorders/>
            <w:shd w:fill="FFFFFF" w:val="clear"/>
            <w:vAlign w:val="center"/>
          </w:tcPr>
          <w:p>
            <w:pPr>
              <w:pStyle w:val="TableContents"/>
              <w:bidi w:val="0"/>
              <w:spacing w:before="0" w:after="283"/>
              <w:jc w:val="center"/>
              <w:rPr>
                <w:sz w:val="20"/>
              </w:rPr>
            </w:pPr>
            <w:r>
              <w:rPr>
                <w:sz w:val="20"/>
              </w:rPr>
              <w:t>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q2_001"/>
      <w:bookmarkEnd w:id="3"/>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q2_002"/>
      <w:bookmarkEnd w:id="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q2_003"/>
      <w:bookmarkEnd w:id="5"/>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4"/>
        <w:gridCol w:w="60"/>
        <w:gridCol w:w="164"/>
        <w:gridCol w:w="1030"/>
        <w:gridCol w:w="95"/>
        <w:gridCol w:w="60"/>
        <w:gridCol w:w="158"/>
        <w:gridCol w:w="996"/>
        <w:gridCol w:w="88"/>
      </w:tblGrid>
      <w:tr>
        <w:trPr/>
        <w:tc>
          <w:tcPr>
            <w:tcW w:w="7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center"/>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5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88" w:type="dxa"/>
            <w:tcBorders/>
            <w:vAlign w:val="center"/>
          </w:tcPr>
          <w:p>
            <w:pPr>
              <w:pStyle w:val="TableContents"/>
              <w:bidi w:val="0"/>
              <w:spacing w:before="0" w:after="283"/>
              <w:jc w:val="left"/>
              <w:rPr/>
            </w:pPr>
            <w:r>
              <w:rPr/>
              <w:t> </w:t>
            </w:r>
          </w:p>
        </w:tc>
      </w:tr>
      <w:tr>
        <w:trPr/>
        <w:tc>
          <w:tcPr>
            <w:tcW w:w="7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r>
      <w:tr>
        <w:trPr/>
        <w:tc>
          <w:tcPr>
            <w:tcW w:w="7554"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755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12,771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1,659</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181</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12,959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1,840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13,344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pPr>
            <w:r>
              <w:rPr/>
              <w:t>2,272</w:t>
            </w:r>
          </w:p>
        </w:tc>
        <w:tc>
          <w:tcPr>
            <w:tcW w:w="88" w:type="dxa"/>
            <w:tcBorders/>
            <w:shd w:fill="CCEEFF" w:val="clear"/>
            <w:vAlign w:val="center"/>
          </w:tcPr>
          <w:p>
            <w:pPr>
              <w:pStyle w:val="TableContents"/>
              <w:bidi w:val="0"/>
              <w:spacing w:before="0" w:after="283"/>
              <w:jc w:val="left"/>
              <w:rPr/>
            </w:pPr>
            <w:r>
              <w:rPr/>
              <w:t> </w:t>
            </w:r>
          </w:p>
        </w:tc>
      </w:tr>
      <w:tr>
        <w:trPr/>
        <w:tc>
          <w:tcPr>
            <w:tcW w:w="7554"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55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30" w:type="dxa"/>
            <w:tcBorders/>
            <w:shd w:fill="FFFFFF" w:val="clear"/>
            <w:vAlign w:val="center"/>
          </w:tcPr>
          <w:p>
            <w:pPr>
              <w:pStyle w:val="TableContents"/>
              <w:bidi w:val="0"/>
              <w:spacing w:before="0" w:after="283"/>
              <w:jc w:val="right"/>
              <w:rPr/>
            </w:pPr>
            <w:r>
              <w:rPr/>
              <w:t>3,749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3,963</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1,764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406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Convertible promissory notes, current ($300 to related parties)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3,133</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Senior secured notes, current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10,282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10,539</w:t>
            </w:r>
          </w:p>
        </w:tc>
        <w:tc>
          <w:tcPr>
            <w:tcW w:w="88" w:type="dxa"/>
            <w:tcBorders/>
            <w:shd w:fill="CCEEFF" w:val="clear"/>
            <w:vAlign w:val="center"/>
          </w:tcPr>
          <w:p>
            <w:pPr>
              <w:pStyle w:val="TableContents"/>
              <w:bidi w:val="0"/>
              <w:spacing w:before="0" w:after="283"/>
              <w:jc w:val="left"/>
              <w:rPr/>
            </w:pPr>
            <w:r>
              <w:rPr/>
              <w:t> </w:t>
            </w:r>
          </w:p>
        </w:tc>
      </w:tr>
      <w:tr>
        <w:trPr/>
        <w:tc>
          <w:tcPr>
            <w:tcW w:w="7554" w:type="dxa"/>
            <w:tcBorders/>
            <w:shd w:fill="FFFFFF" w:val="clear"/>
            <w:vAlign w:val="center"/>
          </w:tcPr>
          <w:p>
            <w:pPr>
              <w:pStyle w:val="TableContents"/>
              <w:bidi w:val="0"/>
              <w:spacing w:before="0" w:after="283"/>
              <w:jc w:val="left"/>
              <w:rPr/>
            </w:pPr>
            <w:r>
              <w:rPr/>
              <w:t>Commitments and contingencies (Note 5)</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r>
      <w:tr>
        <w:trPr/>
        <w:tc>
          <w:tcPr>
            <w:tcW w:w="755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Convertible preferred stock (Series A), $0.0001 par value; 0 shares authorized at June 30, 2025 and 15,000 shares authorized at December 3, 2025; 0 and 15,000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Convertible preferred stock (Series C), $0.0001 par value; 23,000 shares authorized; 11,983 and 11,983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Convertible preferred stock (Series D), $0.0001 par value; 15,000 shares authorized; 15,000 and 0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Common Stock, $0.0001 par value; 600,000,000 shares authorized; 187,328,921 and 172,318,506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110,211</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(162</w:t>
            </w:r>
          </w:p>
        </w:tc>
        <w:tc>
          <w:tcPr>
            <w:tcW w:w="88" w:type="dxa"/>
            <w:tcBorders/>
            <w:shd w:fill="CCEEFF" w:val="clear"/>
            <w:vAlign w:val="center"/>
          </w:tcPr>
          <w:p>
            <w:pPr>
              <w:pStyle w:val="TableContents"/>
              <w:bidi w:val="0"/>
              <w:spacing w:before="0" w:after="283"/>
              <w:ind w:left="0" w:right="0" w:hanging="200"/>
              <w:jc w:val="left"/>
              <w:rPr/>
            </w:pPr>
            <w:r>
              <w:rPr/>
              <w:t>)</w:t>
            </w:r>
          </w:p>
        </w:tc>
      </w:tr>
      <w:tr>
        <w:trPr/>
        <w:tc>
          <w:tcPr>
            <w:tcW w:w="755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(118,333</w:t>
            </w:r>
          </w:p>
        </w:tc>
        <w:tc>
          <w:tcPr>
            <w:tcW w:w="88" w:type="dxa"/>
            <w:tcBorders/>
            <w:shd w:fill="FFFFFF" w:val="clear"/>
            <w:vAlign w:val="center"/>
          </w:tcPr>
          <w:p>
            <w:pPr>
              <w:pStyle w:val="TableContents"/>
              <w:bidi w:val="0"/>
              <w:spacing w:before="0" w:after="283"/>
              <w:ind w:left="0" w:right="0" w:hanging="200"/>
              <w:jc w:val="left"/>
              <w:rPr/>
            </w:pPr>
            <w:r>
              <w:rPr/>
              <w:t>)</w:t>
            </w:r>
          </w:p>
        </w:tc>
      </w:tr>
      <w:tr>
        <w:trPr/>
        <w:tc>
          <w:tcPr>
            <w:tcW w:w="755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3,062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(8,267</w:t>
            </w:r>
          </w:p>
        </w:tc>
        <w:tc>
          <w:tcPr>
            <w:tcW w:w="88" w:type="dxa"/>
            <w:tcBorders/>
            <w:shd w:fill="CCEEFF" w:val="clear"/>
            <w:vAlign w:val="center"/>
          </w:tcPr>
          <w:p>
            <w:pPr>
              <w:pStyle w:val="TableContents"/>
              <w:bidi w:val="0"/>
              <w:spacing w:before="0" w:after="283"/>
              <w:ind w:left="0" w:right="0" w:hanging="200"/>
              <w:jc w:val="left"/>
              <w:rPr/>
            </w:pPr>
            <w:r>
              <w:rPr/>
              <w:t>)</w:t>
            </w:r>
          </w:p>
        </w:tc>
      </w:tr>
      <w:tr>
        <w:trPr/>
        <w:tc>
          <w:tcPr>
            <w:tcW w:w="7554"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pPr>
            <w:r>
              <w:rPr/>
              <w:t>13,344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2,272</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q2_004"/>
      <w:bookmarkEnd w:id="6"/>
      <w:r>
        <w:rPr>
          <w:rFonts w:ascii="Times New Roman;Times;Serif" w:hAnsi="Times New Roman;Times;Serif"/>
          <w:b/>
          <w:i w:val="false"/>
          <w:caps w:val="false"/>
          <w:smallCaps w:val="false"/>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3"/>
        <w:gridCol w:w="60"/>
        <w:gridCol w:w="148"/>
        <w:gridCol w:w="1294"/>
        <w:gridCol w:w="100"/>
        <w:gridCol w:w="63"/>
        <w:gridCol w:w="148"/>
        <w:gridCol w:w="1166"/>
        <w:gridCol w:w="95"/>
        <w:gridCol w:w="60"/>
        <w:gridCol w:w="141"/>
        <w:gridCol w:w="1233"/>
        <w:gridCol w:w="95"/>
        <w:gridCol w:w="60"/>
        <w:gridCol w:w="141"/>
        <w:gridCol w:w="1112"/>
        <w:gridCol w:w="116"/>
      </w:tblGrid>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417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417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285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383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1,748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1,627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1,264</w:t>
            </w:r>
          </w:p>
        </w:tc>
        <w:tc>
          <w:tcPr>
            <w:tcW w:w="116" w:type="dxa"/>
            <w:tcBorders/>
            <w:shd w:fill="FFFFFF" w:val="clear"/>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6" w:type="dxa"/>
            <w:tcBorders/>
            <w:shd w:fill="CCEEFF" w:val="clear"/>
            <w:vAlign w:val="center"/>
          </w:tcPr>
          <w:p>
            <w:pPr>
              <w:pStyle w:val="TableContents"/>
              <w:bidi w:val="0"/>
              <w:spacing w:before="0" w:after="283"/>
              <w:jc w:val="left"/>
              <w:rPr/>
            </w:pPr>
            <w:r>
              <w:rPr/>
              <w:t>)</w:t>
            </w:r>
          </w:p>
        </w:tc>
      </w:tr>
      <w:tr>
        <w:trPr/>
        <w:tc>
          <w:tcPr>
            <w:tcW w:w="4173"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(229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(243</w:t>
            </w:r>
          </w:p>
        </w:tc>
        <w:tc>
          <w:tcPr>
            <w:tcW w:w="116" w:type="dxa"/>
            <w:tcBorders/>
            <w:shd w:fill="CCEEFF" w:val="clear"/>
            <w:vAlign w:val="center"/>
          </w:tcPr>
          <w:p>
            <w:pPr>
              <w:pStyle w:val="TableContents"/>
              <w:bidi w:val="0"/>
              <w:spacing w:before="0" w:after="283"/>
              <w:ind w:left="0" w:right="0" w:hanging="200"/>
              <w:jc w:val="left"/>
              <w:rPr/>
            </w:pPr>
            <w:r>
              <w:rPr/>
              <w:t>)</w:t>
            </w:r>
          </w:p>
        </w:tc>
      </w:tr>
      <w:tr>
        <w:trPr/>
        <w:tc>
          <w:tcPr>
            <w:tcW w:w="4173"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(134</w:t>
            </w:r>
          </w:p>
        </w:tc>
        <w:tc>
          <w:tcPr>
            <w:tcW w:w="116" w:type="dxa"/>
            <w:tcBorders/>
            <w:shd w:fill="FFFFFF" w:val="clear"/>
            <w:vAlign w:val="center"/>
          </w:tcPr>
          <w:p>
            <w:pPr>
              <w:pStyle w:val="TableContents"/>
              <w:bidi w:val="0"/>
              <w:spacing w:before="0" w:after="283"/>
              <w:ind w:left="0" w:right="0" w:hanging="200"/>
              <w:jc w:val="left"/>
              <w:rPr/>
            </w:pPr>
            <w:r>
              <w:rPr/>
              <w:t>)</w:t>
            </w:r>
          </w:p>
        </w:tc>
      </w:tr>
      <w:tr>
        <w:trPr/>
        <w:tc>
          <w:tcPr>
            <w:tcW w:w="4173"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2,357</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1,197</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(208</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3,194</w:t>
            </w:r>
          </w:p>
        </w:tc>
        <w:tc>
          <w:tcPr>
            <w:tcW w:w="116" w:type="dxa"/>
            <w:tcBorders/>
            <w:shd w:fill="FFFFFF" w:val="clear"/>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(1,835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(3,145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116" w:type="dxa"/>
            <w:tcBorders/>
            <w:shd w:fill="CCEEFF" w:val="clear"/>
            <w:vAlign w:val="center"/>
          </w:tcPr>
          <w:p>
            <w:pPr>
              <w:pStyle w:val="TableContents"/>
              <w:bidi w:val="0"/>
              <w:spacing w:before="0" w:after="283"/>
              <w:jc w:val="left"/>
              <w:rPr/>
            </w:pPr>
            <w:r>
              <w:rPr/>
              <w:t> </w:t>
            </w:r>
          </w:p>
        </w:tc>
      </w:tr>
      <w:tr>
        <w:trPr/>
        <w:tc>
          <w:tcPr>
            <w:tcW w:w="4173" w:type="dxa"/>
            <w:tcBorders/>
            <w:shd w:fill="FFFFFF" w:val="clear"/>
            <w:vAlign w:val="center"/>
          </w:tcPr>
          <w:p>
            <w:pPr>
              <w:pStyle w:val="TableContents"/>
              <w:bidi w:val="0"/>
              <w:spacing w:before="0" w:after="283"/>
              <w:jc w:val="left"/>
              <w:rPr/>
            </w:pPr>
            <w:r>
              <w:rPr/>
              <w:t>Series D preferred stock capitalized dividend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(2,062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(3,372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116" w:type="dxa"/>
            <w:tcBorders/>
            <w:shd w:fill="CCEEFF" w:val="clear"/>
            <w:vAlign w:val="center"/>
          </w:tcPr>
          <w:p>
            <w:pPr>
              <w:pStyle w:val="TableContents"/>
              <w:bidi w:val="0"/>
              <w:spacing w:before="0" w:after="283"/>
              <w:jc w:val="left"/>
              <w:rPr/>
            </w:pPr>
            <w:r>
              <w:rPr/>
              <w:t> </w:t>
            </w:r>
          </w:p>
        </w:tc>
      </w:tr>
      <w:tr>
        <w:trPr/>
        <w:tc>
          <w:tcPr>
            <w:tcW w:w="4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Net income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0.04</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Net income (loss)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Weighted-average common shares outstanding, basic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186,174,045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51,776,206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179,284,550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47,154,964</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66,276,206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57,918,326</w:t>
            </w:r>
          </w:p>
        </w:tc>
        <w:tc>
          <w:tcPr>
            <w:tcW w:w="116" w:type="dxa"/>
            <w:tcBorders/>
            <w:shd w:fill="FFFFFF" w:val="clear"/>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p>
        </w:tc>
      </w:tr>
      <w:tr>
        <w:trPr/>
        <w:tc>
          <w:tcPr>
            <w:tcW w:w="417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(1,835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6"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3"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1,930</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4173"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6" w:type="dxa"/>
            <w:tcBorders/>
            <w:shd w:fill="CCEEFF" w:val="clear"/>
            <w:vAlign w:val="center"/>
          </w:tcPr>
          <w:p>
            <w:pPr>
              <w:pStyle w:val="TableContents"/>
              <w:bidi w:val="0"/>
              <w:spacing w:before="0" w:after="283"/>
              <w:ind w:left="0" w:right="0" w:hanging="200"/>
              <w:jc w:val="left"/>
              <w:rPr/>
            </w:pPr>
            <w:r>
              <w:rPr/>
              <w:t>)</w:t>
            </w:r>
          </w:p>
        </w:tc>
      </w:tr>
      <w:tr>
        <w:trPr/>
        <w:tc>
          <w:tcPr>
            <w:tcW w:w="4173"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(1,856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(3,184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q2_005"/>
      <w:bookmarkEnd w:id="7"/>
      <w:r>
        <w:rPr>
          <w:rFonts w:ascii="Times New Roman;Times;Serif" w:hAnsi="Times New Roman;Times;Serif"/>
          <w:b/>
          <w:i w:val="false"/>
          <w:caps w:val="false"/>
          <w:smallCaps w:val="false"/>
          <w:sz w:val="20"/>
        </w:rPr>
        <w:t>CONDENSED CONSOLIDATED STATEMENTS OF CONVERTIBLE PREFERRED STOCK AND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tbl>
      <w:tblPr>
        <w:tblW w:w="11690"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430"/>
        <w:gridCol w:w="430"/>
        <w:gridCol w:w="60"/>
        <w:gridCol w:w="60"/>
        <w:gridCol w:w="60"/>
        <w:gridCol w:w="1220"/>
        <w:gridCol w:w="60"/>
        <w:gridCol w:w="60"/>
        <w:gridCol w:w="301"/>
        <w:gridCol w:w="559"/>
        <w:gridCol w:w="60"/>
        <w:gridCol w:w="60"/>
        <w:gridCol w:w="163"/>
        <w:gridCol w:w="937"/>
        <w:gridCol w:w="95"/>
        <w:gridCol w:w="60"/>
        <w:gridCol w:w="378"/>
        <w:gridCol w:w="1232"/>
        <w:gridCol w:w="95"/>
        <w:gridCol w:w="60"/>
        <w:gridCol w:w="188"/>
        <w:gridCol w:w="1182"/>
        <w:gridCol w:w="95"/>
        <w:gridCol w:w="60"/>
        <w:gridCol w:w="228"/>
        <w:gridCol w:w="1112"/>
        <w:gridCol w:w="75"/>
      </w:tblGrid>
      <w:tr>
        <w:trPr/>
        <w:tc>
          <w:tcPr>
            <w:tcW w:w="1340"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 ($0.0001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110,449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(119,643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(9,357</w:t>
            </w:r>
          </w:p>
        </w:tc>
        <w:tc>
          <w:tcPr>
            <w:tcW w:w="75" w:type="dxa"/>
            <w:tcBorders/>
            <w:shd w:fill="CCEEFF" w:val="clear"/>
            <w:vAlign w:val="center"/>
          </w:tcPr>
          <w:p>
            <w:pPr>
              <w:pStyle w:val="TableContents"/>
              <w:bidi w:val="0"/>
              <w:spacing w:before="0" w:after="283"/>
              <w:ind w:left="0" w:right="0" w:hanging="100"/>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206</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ind w:left="0" w:right="0" w:hanging="100"/>
              <w:jc w:val="left"/>
              <w:rPr/>
            </w:pPr>
            <w:r>
              <w:rPr/>
              <w:t> </w:t>
            </w:r>
          </w:p>
        </w:tc>
      </w:tr>
      <w:tr>
        <w:trPr/>
        <w:tc>
          <w:tcPr>
            <w:tcW w:w="1340" w:type="dxa"/>
            <w:tcBorders/>
            <w:shd w:fill="FFFFFF" w:val="clear"/>
            <w:vAlign w:val="center"/>
          </w:tcPr>
          <w:p>
            <w:pPr>
              <w:pStyle w:val="TableContents"/>
              <w:bidi w:val="0"/>
              <w:spacing w:before="0" w:after="283"/>
              <w:jc w:val="left"/>
              <w:rPr/>
            </w:pPr>
            <w:r>
              <w:rPr/>
              <w:t>Cash received on sale of Series D Preferred stock,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13,838</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Series D preferred stock capitalized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0"/>
              <w:jc w:val="left"/>
              <w:rPr/>
            </w:pPr>
            <w:r>
              <w:rPr/>
              <w:t> </w:t>
            </w:r>
          </w:p>
        </w:tc>
      </w:tr>
      <w:tr>
        <w:trPr/>
        <w:tc>
          <w:tcPr>
            <w:tcW w:w="1340" w:type="dxa"/>
            <w:tcBorders/>
            <w:shd w:fill="FFFFFF" w:val="clear"/>
            <w:vAlign w:val="center"/>
          </w:tcPr>
          <w:p>
            <w:pPr>
              <w:pStyle w:val="TableContents"/>
              <w:bidi w:val="0"/>
              <w:spacing w:before="0" w:after="283"/>
              <w:jc w:val="left"/>
              <w:rPr/>
            </w:pPr>
            <w:r>
              <w:rPr/>
              <w:t>Common stock issued on conversion of Series A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Common stock issued 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(1,835</w:t>
            </w:r>
          </w:p>
        </w:tc>
        <w:tc>
          <w:tcPr>
            <w:tcW w:w="75" w:type="dxa"/>
            <w:tcBorders/>
            <w:shd w:fill="FFFFFF" w:val="clear"/>
            <w:vAlign w:val="center"/>
          </w:tcPr>
          <w:p>
            <w:pPr>
              <w:pStyle w:val="TableContents"/>
              <w:bidi w:val="0"/>
              <w:spacing w:before="0" w:after="283"/>
              <w:ind w:left="0" w:right="0" w:hanging="100"/>
              <w:jc w:val="left"/>
              <w:rPr/>
            </w:pPr>
            <w:r>
              <w:rPr/>
              <w:t>)</w:t>
            </w:r>
          </w:p>
        </w:tc>
      </w:tr>
      <w:tr>
        <w:trPr/>
        <w:tc>
          <w:tcPr>
            <w:tcW w:w="134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ind w:left="0" w:right="0" w:hanging="10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187,328,921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3,062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1690"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430"/>
        <w:gridCol w:w="430"/>
        <w:gridCol w:w="60"/>
        <w:gridCol w:w="60"/>
        <w:gridCol w:w="60"/>
        <w:gridCol w:w="1220"/>
        <w:gridCol w:w="60"/>
        <w:gridCol w:w="60"/>
        <w:gridCol w:w="301"/>
        <w:gridCol w:w="559"/>
        <w:gridCol w:w="60"/>
        <w:gridCol w:w="60"/>
        <w:gridCol w:w="163"/>
        <w:gridCol w:w="937"/>
        <w:gridCol w:w="95"/>
        <w:gridCol w:w="60"/>
        <w:gridCol w:w="378"/>
        <w:gridCol w:w="1232"/>
        <w:gridCol w:w="95"/>
        <w:gridCol w:w="60"/>
        <w:gridCol w:w="188"/>
        <w:gridCol w:w="1182"/>
        <w:gridCol w:w="95"/>
        <w:gridCol w:w="60"/>
        <w:gridCol w:w="228"/>
        <w:gridCol w:w="1112"/>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 ($0.0001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110,211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(8,267</w:t>
            </w:r>
          </w:p>
        </w:tc>
        <w:tc>
          <w:tcPr>
            <w:tcW w:w="75" w:type="dxa"/>
            <w:tcBorders/>
            <w:shd w:fill="CCEEFF" w:val="clear"/>
            <w:vAlign w:val="center"/>
          </w:tcPr>
          <w:p>
            <w:pPr>
              <w:pStyle w:val="TableContents"/>
              <w:bidi w:val="0"/>
              <w:spacing w:before="0" w:after="283"/>
              <w:ind w:left="0" w:right="0" w:hanging="100"/>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444</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ind w:left="0" w:right="0" w:hanging="100"/>
              <w:jc w:val="left"/>
              <w:rPr/>
            </w:pPr>
            <w:r>
              <w:rPr/>
              <w:t> </w:t>
            </w:r>
          </w:p>
        </w:tc>
      </w:tr>
      <w:tr>
        <w:trPr/>
        <w:tc>
          <w:tcPr>
            <w:tcW w:w="1340" w:type="dxa"/>
            <w:tcBorders/>
            <w:shd w:fill="FFFFFF" w:val="clear"/>
            <w:vAlign w:val="center"/>
          </w:tcPr>
          <w:p>
            <w:pPr>
              <w:pStyle w:val="TableContents"/>
              <w:bidi w:val="0"/>
              <w:spacing w:before="0" w:after="283"/>
              <w:jc w:val="left"/>
              <w:rPr/>
            </w:pPr>
            <w:r>
              <w:rPr/>
              <w:t>Cash received on sale of Series D Preferred stock,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13,838</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Series D preferred stock capitalized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0"/>
              <w:jc w:val="left"/>
              <w:rPr/>
            </w:pPr>
            <w:r>
              <w:rPr/>
              <w:t> </w:t>
            </w:r>
          </w:p>
        </w:tc>
      </w:tr>
      <w:tr>
        <w:trPr/>
        <w:tc>
          <w:tcPr>
            <w:tcW w:w="1340" w:type="dxa"/>
            <w:tcBorders/>
            <w:shd w:fill="FFFFFF" w:val="clear"/>
            <w:vAlign w:val="center"/>
          </w:tcPr>
          <w:p>
            <w:pPr>
              <w:pStyle w:val="TableContents"/>
              <w:bidi w:val="0"/>
              <w:spacing w:before="0" w:after="283"/>
              <w:jc w:val="left"/>
              <w:rPr/>
            </w:pPr>
            <w:r>
              <w:rPr/>
              <w:t>Common stock issued on conversion of Series A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p>
        </w:tc>
      </w:tr>
      <w:tr>
        <w:trPr/>
        <w:tc>
          <w:tcPr>
            <w:tcW w:w="1340" w:type="dxa"/>
            <w:tcBorders/>
            <w:shd w:fill="CCEEFF" w:val="clear"/>
            <w:vAlign w:val="center"/>
          </w:tcPr>
          <w:p>
            <w:pPr>
              <w:pStyle w:val="TableContents"/>
              <w:bidi w:val="0"/>
              <w:spacing w:before="0" w:after="283"/>
              <w:jc w:val="left"/>
              <w:rPr/>
            </w:pPr>
            <w:r>
              <w:rPr/>
              <w:t>Common stock issued 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(3,145</w:t>
            </w:r>
          </w:p>
        </w:tc>
        <w:tc>
          <w:tcPr>
            <w:tcW w:w="75" w:type="dxa"/>
            <w:tcBorders/>
            <w:shd w:fill="FFFFFF" w:val="clear"/>
            <w:vAlign w:val="center"/>
          </w:tcPr>
          <w:p>
            <w:pPr>
              <w:pStyle w:val="TableContents"/>
              <w:bidi w:val="0"/>
              <w:spacing w:before="0" w:after="283"/>
              <w:ind w:left="0" w:right="0" w:hanging="100"/>
              <w:jc w:val="left"/>
              <w:rPr/>
            </w:pPr>
            <w:r>
              <w:rPr/>
              <w:t>)</w:t>
            </w:r>
          </w:p>
        </w:tc>
      </w:tr>
      <w:tr>
        <w:trPr/>
        <w:tc>
          <w:tcPr>
            <w:tcW w:w="134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00"/>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187,328,921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3,062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CONVERTIBLE PREFERRED STOCK AND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60"/>
        <w:gridCol w:w="61"/>
        <w:gridCol w:w="1129"/>
        <w:gridCol w:w="61"/>
        <w:gridCol w:w="61"/>
        <w:gridCol w:w="430"/>
        <w:gridCol w:w="430"/>
        <w:gridCol w:w="60"/>
        <w:gridCol w:w="60"/>
        <w:gridCol w:w="163"/>
        <w:gridCol w:w="937"/>
        <w:gridCol w:w="60"/>
        <w:gridCol w:w="60"/>
        <w:gridCol w:w="378"/>
        <w:gridCol w:w="1232"/>
        <w:gridCol w:w="95"/>
        <w:gridCol w:w="60"/>
        <w:gridCol w:w="188"/>
        <w:gridCol w:w="1182"/>
        <w:gridCol w:w="95"/>
        <w:gridCol w:w="60"/>
        <w:gridCol w:w="210"/>
        <w:gridCol w:w="1137"/>
        <w:gridCol w:w="113"/>
      </w:tblGrid>
      <w:tr>
        <w:trPr/>
        <w:tc>
          <w:tcPr>
            <w:tcW w:w="1883"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center"/>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Total</w:t>
              <w:br/>
              <w:t>Stockholders’</w:t>
            </w:r>
          </w:p>
        </w:tc>
        <w:tc>
          <w:tcPr>
            <w:tcW w:w="113"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00"/>
              <w:jc w:val="left"/>
              <w:rPr/>
            </w:pPr>
            <w:r>
              <w:rPr/>
              <w:t> </w:t>
            </w:r>
          </w:p>
        </w:tc>
      </w:tr>
      <w:tr>
        <w:trPr/>
        <w:tc>
          <w:tcPr>
            <w:tcW w:w="1883"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43,614,506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(128,439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(24,213</w:t>
            </w:r>
          </w:p>
        </w:tc>
        <w:tc>
          <w:tcPr>
            <w:tcW w:w="113" w:type="dxa"/>
            <w:tcBorders/>
            <w:shd w:fill="CCEEFF" w:val="clear"/>
            <w:vAlign w:val="center"/>
          </w:tcPr>
          <w:p>
            <w:pPr>
              <w:pStyle w:val="TableContents"/>
              <w:bidi w:val="0"/>
              <w:spacing w:before="0" w:after="283"/>
              <w:ind w:left="0" w:right="0" w:hanging="100"/>
              <w:jc w:val="left"/>
              <w:rPr/>
            </w:pPr>
            <w:r>
              <w:rPr/>
              <w:t>)</w:t>
            </w:r>
          </w:p>
        </w:tc>
      </w:tr>
      <w:tr>
        <w:trPr/>
        <w:tc>
          <w:tcPr>
            <w:tcW w:w="1883" w:type="dxa"/>
            <w:tcBorders/>
            <w:shd w:fill="FFFFFF" w:val="clear"/>
            <w:vAlign w:val="center"/>
          </w:tcPr>
          <w:p>
            <w:pPr>
              <w:pStyle w:val="TableContents"/>
              <w:bidi w:val="0"/>
              <w:spacing w:before="0" w:after="283"/>
              <w:jc w:val="left"/>
              <w:rPr/>
            </w:pPr>
            <w:r>
              <w:rPr/>
              <w:t>Issuance of common stock resulting from the Consent Agreement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34,000,000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10</w:t>
            </w:r>
          </w:p>
        </w:tc>
        <w:tc>
          <w:tcPr>
            <w:tcW w:w="113" w:type="dxa"/>
            <w:tcBorders/>
            <w:shd w:fill="FFFFFF" w:val="clear"/>
            <w:vAlign w:val="center"/>
          </w:tcPr>
          <w:p>
            <w:pPr>
              <w:pStyle w:val="TableContents"/>
              <w:bidi w:val="0"/>
              <w:spacing w:before="0" w:after="283"/>
              <w:ind w:left="0" w:right="0" w:hanging="100"/>
              <w:jc w:val="left"/>
              <w:rPr/>
            </w:pPr>
            <w:r>
              <w:rPr/>
              <w:t> </w:t>
            </w:r>
          </w:p>
        </w:tc>
      </w:tr>
      <w:tr>
        <w:trPr/>
        <w:tc>
          <w:tcPr>
            <w:tcW w:w="1883" w:type="dxa"/>
            <w:tcBorders/>
            <w:shd w:fill="CCEEFF" w:val="clear"/>
            <w:vAlign w:val="center"/>
          </w:tcPr>
          <w:p>
            <w:pPr>
              <w:pStyle w:val="TableContents"/>
              <w:bidi w:val="0"/>
              <w:spacing w:before="0" w:after="283"/>
              <w:jc w:val="left"/>
              <w:rPr/>
            </w:pPr>
            <w:r>
              <w:rPr/>
              <w:t>Issuance of common stock resulting from the Conversion Agreements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15,347,000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2,118</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30</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2,700</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3" w:type="dxa"/>
            <w:tcBorders/>
            <w:shd w:fill="CCEEFF" w:val="clear"/>
            <w:vAlign w:val="center"/>
          </w:tcPr>
          <w:p>
            <w:pPr>
              <w:pStyle w:val="TableContents"/>
              <w:bidi w:val="0"/>
              <w:spacing w:before="0" w:after="283"/>
              <w:ind w:left="0" w:right="0" w:hanging="100"/>
              <w:jc w:val="left"/>
              <w:rPr/>
            </w:pPr>
            <w:r>
              <w:rPr/>
              <w:t>)</w:t>
            </w:r>
          </w:p>
        </w:tc>
      </w:tr>
      <w:tr>
        <w:trPr/>
        <w:tc>
          <w:tcPr>
            <w:tcW w:w="1883"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92,961,506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106,498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(125,739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pPr>
            <w:r>
              <w:rPr/>
              <w:t>(19,363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60"/>
        <w:gridCol w:w="61"/>
        <w:gridCol w:w="1129"/>
        <w:gridCol w:w="61"/>
        <w:gridCol w:w="61"/>
        <w:gridCol w:w="430"/>
        <w:gridCol w:w="430"/>
        <w:gridCol w:w="60"/>
        <w:gridCol w:w="60"/>
        <w:gridCol w:w="163"/>
        <w:gridCol w:w="937"/>
        <w:gridCol w:w="60"/>
        <w:gridCol w:w="60"/>
        <w:gridCol w:w="378"/>
        <w:gridCol w:w="1232"/>
        <w:gridCol w:w="95"/>
        <w:gridCol w:w="60"/>
        <w:gridCol w:w="188"/>
        <w:gridCol w:w="1182"/>
        <w:gridCol w:w="95"/>
        <w:gridCol w:w="60"/>
        <w:gridCol w:w="210"/>
        <w:gridCol w:w="1137"/>
        <w:gridCol w:w="113"/>
      </w:tblGrid>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Total</w:t>
              <w:br/>
              <w:t>Stockholders’</w:t>
            </w:r>
          </w:p>
        </w:tc>
        <w:tc>
          <w:tcPr>
            <w:tcW w:w="113"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43,589,506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(127,669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(23,473</w:t>
            </w:r>
          </w:p>
        </w:tc>
        <w:tc>
          <w:tcPr>
            <w:tcW w:w="113" w:type="dxa"/>
            <w:tcBorders/>
            <w:shd w:fill="CCEEFF" w:val="clear"/>
            <w:vAlign w:val="center"/>
          </w:tcPr>
          <w:p>
            <w:pPr>
              <w:pStyle w:val="TableContents"/>
              <w:bidi w:val="0"/>
              <w:spacing w:before="0" w:after="283"/>
              <w:jc w:val="left"/>
              <w:rPr/>
            </w:pPr>
            <w:r>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25,000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74</w:t>
            </w:r>
          </w:p>
        </w:tc>
        <w:tc>
          <w:tcPr>
            <w:tcW w:w="113" w:type="dxa"/>
            <w:tcBorders/>
            <w:shd w:fill="FFFFFF" w:val="clear"/>
            <w:vAlign w:val="center"/>
          </w:tcPr>
          <w:p>
            <w:pPr>
              <w:pStyle w:val="TableContents"/>
              <w:bidi w:val="0"/>
              <w:spacing w:before="0" w:after="283"/>
              <w:ind w:left="0" w:right="0" w:hanging="100"/>
              <w:jc w:val="left"/>
              <w:rPr/>
            </w:pPr>
            <w:r>
              <w:rPr/>
              <w:t> </w:t>
            </w:r>
          </w:p>
        </w:tc>
      </w:tr>
      <w:tr>
        <w:trPr/>
        <w:tc>
          <w:tcPr>
            <w:tcW w:w="1883" w:type="dxa"/>
            <w:tcBorders/>
            <w:shd w:fill="CCEEFF" w:val="clear"/>
            <w:vAlign w:val="center"/>
          </w:tcPr>
          <w:p>
            <w:pPr>
              <w:pStyle w:val="TableContents"/>
              <w:bidi w:val="0"/>
              <w:spacing w:before="0" w:after="283"/>
              <w:jc w:val="left"/>
              <w:rPr/>
            </w:pPr>
            <w:r>
              <w:rPr/>
              <w:t>Issuance of common stock resulting from the Consent Agreement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34,000,000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10</w:t>
            </w:r>
          </w:p>
        </w:tc>
        <w:tc>
          <w:tcPr>
            <w:tcW w:w="113" w:type="dxa"/>
            <w:tcBorders/>
            <w:shd w:fill="CCEEFF" w:val="clear"/>
            <w:vAlign w:val="center"/>
          </w:tcPr>
          <w:p>
            <w:pPr>
              <w:pStyle w:val="TableContents"/>
              <w:bidi w:val="0"/>
              <w:spacing w:before="0" w:after="283"/>
              <w:ind w:left="0" w:right="0" w:hanging="100"/>
              <w:jc w:val="left"/>
              <w:rPr/>
            </w:pPr>
            <w:r>
              <w:rPr/>
              <w:t> </w:t>
            </w:r>
          </w:p>
        </w:tc>
      </w:tr>
      <w:tr>
        <w:trPr/>
        <w:tc>
          <w:tcPr>
            <w:tcW w:w="1883" w:type="dxa"/>
            <w:tcBorders/>
            <w:shd w:fill="FFFFFF" w:val="clear"/>
            <w:vAlign w:val="center"/>
          </w:tcPr>
          <w:p>
            <w:pPr>
              <w:pStyle w:val="TableContents"/>
              <w:bidi w:val="0"/>
              <w:spacing w:before="0" w:after="283"/>
              <w:jc w:val="left"/>
              <w:rPr/>
            </w:pPr>
            <w:r>
              <w:rPr/>
              <w:t>Issuance of common stock resulting from the Conversion Agreements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15,347,000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2,118</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1,930</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3" w:type="dxa"/>
            <w:tcBorders/>
            <w:shd w:fill="CCEEFF" w:val="clear"/>
            <w:vAlign w:val="center"/>
          </w:tcPr>
          <w:p>
            <w:pPr>
              <w:pStyle w:val="TableContents"/>
              <w:bidi w:val="0"/>
              <w:spacing w:before="0" w:after="283"/>
              <w:jc w:val="left"/>
              <w:rPr/>
            </w:pPr>
            <w:r>
              <w:rPr/>
              <w:t>)</w:t>
            </w:r>
          </w:p>
        </w:tc>
      </w:tr>
      <w:tr>
        <w:trPr/>
        <w:tc>
          <w:tcPr>
            <w:tcW w:w="1883"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92,961,506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106,498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(125,739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pPr>
            <w:r>
              <w:rPr/>
              <w:t>(19,363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q2_006"/>
      <w:bookmarkEnd w:id="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9956" w:type="dxa"/>
        <w:jc w:val="left"/>
        <w:tblInd w:w="0" w:type="dxa"/>
        <w:tblLayout w:type="fixed"/>
        <w:tblCellMar>
          <w:top w:w="0" w:type="dxa"/>
          <w:left w:w="0" w:type="dxa"/>
          <w:bottom w:w="0" w:type="dxa"/>
          <w:right w:w="0" w:type="dxa"/>
        </w:tblCellMar>
      </w:tblPr>
      <w:tblGrid>
        <w:gridCol w:w="7070"/>
        <w:gridCol w:w="60"/>
        <w:gridCol w:w="217"/>
        <w:gridCol w:w="1056"/>
        <w:gridCol w:w="147"/>
        <w:gridCol w:w="93"/>
        <w:gridCol w:w="217"/>
        <w:gridCol w:w="986"/>
        <w:gridCol w:w="110"/>
      </w:tblGrid>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(3,145</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1,930</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444</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74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7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361</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195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70"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134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70"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(2,357</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7070"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(1,197</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70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70" w:type="dxa"/>
            <w:tcBorders/>
            <w:shd w:fill="FFFFFF" w:val="clear"/>
            <w:vAlign w:val="center"/>
          </w:tcPr>
          <w:p>
            <w:pPr>
              <w:pStyle w:val="TableContents"/>
              <w:bidi w:val="0"/>
              <w:spacing w:before="0" w:after="283"/>
              <w:jc w:val="left"/>
              <w:rPr/>
            </w:pPr>
            <w:r>
              <w:rPr/>
              <w:t>Prepaid expenses and other current and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40</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70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(214</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707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720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707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(2,688</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(464</w:t>
            </w:r>
          </w:p>
        </w:tc>
        <w:tc>
          <w:tcPr>
            <w:tcW w:w="110" w:type="dxa"/>
            <w:tcBorders/>
            <w:shd w:fill="CCEEFF" w:val="clear"/>
            <w:vAlign w:val="center"/>
          </w:tcPr>
          <w:p>
            <w:pPr>
              <w:pStyle w:val="TableContents"/>
              <w:bidi w:val="0"/>
              <w:spacing w:before="0" w:after="283"/>
              <w:jc w:val="left"/>
              <w:rPr/>
            </w:pPr>
            <w:r>
              <w:rPr/>
              <w:t>)</w:t>
            </w:r>
          </w:p>
        </w:tc>
      </w:tr>
      <w:tr>
        <w:trPr/>
        <w:tc>
          <w:tcPr>
            <w:tcW w:w="707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Proceeds from sale of Series D Preferred stock, net of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13,838</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Proceeds from convertible notes, net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Payment of senior secured notes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(1,343</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707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13,839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1,482</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p>
        </w:tc>
      </w:tr>
      <w:tr>
        <w:trPr/>
        <w:tc>
          <w:tcPr>
            <w:tcW w:w="7070"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11,112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997</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Cash and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1,659</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359</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Cash and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pPr>
            <w:r>
              <w:rPr/>
              <w:t>12,771</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1,356</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b/>
              </w:rPr>
            </w:pPr>
            <w:r>
              <w:rPr>
                <w:b/>
              </w:rPr>
              <w:t>Supplemental disclosures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230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Issuance of common stock in connection with settlement of liability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2,039</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Issuance of common stock in connection with settlement of obligation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q2_007"/>
      <w:bookmarkEnd w:id="9"/>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and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June 30, 2026, and the results of its operations and its cash flows for the six months ended June 30, 2026 and 2025. The balance sheet as of December 31, 2025 is derived from the Company’s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financial statements have been prepared on a going concern basis, which contemplates the realization of assets and the settlement of liabilities and commitments in the normal course of business. For the six months ended June 30, 2026, the Company recorded a net loss of $3,145, used cash in operations of $2,688, and had stockholders’ equity of $3,062 as of that date. As of June 30, 2026, the Company had a cash balance of $12,771. Cash used in operations was primarily due to the Company’s operating losses, working capital needs,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sold and issued to accredited investors a total of 15,000 shares of Series D preferred stock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(see Note 6).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accruals for potential liabilities,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classification of all preferred stock issued in accordance with the applicable guidance in ASC 480, Distinguishing Liabilities from Equity, and other relevant U.S. GAAP. Preferred stock that is mandatorily redeemable or otherwise embodies an obligation requiring the Company to redeem the instrument for cash or other assets is classified as a liability. Preferred stock that is redeemable upon the occurrence of events that are outside the Company’s control, or at the option of the holder, is classified as temporary (mezzanine) equity in accordance with SEC guidance. Preferred stock that is not mandatorily redeemable and does not contain redemption features requiring temporary equity classification is classified as permanent equity within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terms of each preferred stock issuance to determine whether any embedded features require separate accounting under ASC 815, Derivatives and Hedging. If no such features require separate accounting and the preferred stock qualifies for equity classification, the instrument is recorded within stockholders’ equity. Issuance costs directly attributable to equity-classified preferred stock are recorded as a reduction of the carrying amount of the related equity instrument, net of any applicable tax effects.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tbl>
      <w:tblPr>
        <w:tblW w:w="7980" w:type="dxa"/>
        <w:jc w:val="left"/>
        <w:tblInd w:w="0" w:type="dxa"/>
        <w:tblLayout w:type="fixed"/>
        <w:tblCellMar>
          <w:top w:w="0" w:type="dxa"/>
          <w:left w:w="0" w:type="dxa"/>
          <w:bottom w:w="0" w:type="dxa"/>
          <w:right w:w="0" w:type="dxa"/>
        </w:tblCellMar>
      </w:tblPr>
      <w:tblGrid>
        <w:gridCol w:w="5435"/>
        <w:gridCol w:w="60"/>
        <w:gridCol w:w="175"/>
        <w:gridCol w:w="700"/>
        <w:gridCol w:w="60"/>
        <w:gridCol w:w="60"/>
        <w:gridCol w:w="283"/>
        <w:gridCol w:w="1132"/>
        <w:gridCol w:w="75"/>
      </w:tblGrid>
      <w:tr>
        <w:trPr/>
        <w:tc>
          <w:tcPr>
            <w:tcW w:w="5435" w:type="dxa"/>
            <w:tcBorders/>
            <w:shd w:fill="FFFFFF" w:val="clear"/>
            <w:vAlign w:val="center"/>
          </w:tcPr>
          <w:p>
            <w:pPr>
              <w:pStyle w:val="TableContents"/>
              <w:bidi w:val="0"/>
              <w:spacing w:before="0" w:after="283"/>
              <w:jc w:val="left"/>
              <w:rPr/>
            </w:pPr>
            <w:r>
              <w:rPr/>
              <w:t>Schedule of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259</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Refunds payable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p>
        </w:tc>
      </w:tr>
      <w:tr>
        <w:trPr/>
        <w:tc>
          <w:tcPr>
            <w:tcW w:w="543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682</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June 30, 2026 and December 31, 2025 consisted of the following:</w:t>
      </w:r>
    </w:p>
    <w:tbl>
      <w:tblPr>
        <w:tblW w:w="8205" w:type="dxa"/>
        <w:jc w:val="left"/>
        <w:tblInd w:w="0" w:type="dxa"/>
        <w:tblLayout w:type="fixed"/>
        <w:tblCellMar>
          <w:top w:w="0" w:type="dxa"/>
          <w:left w:w="0" w:type="dxa"/>
          <w:bottom w:w="0" w:type="dxa"/>
          <w:right w:w="0" w:type="dxa"/>
        </w:tblCellMar>
      </w:tblPr>
      <w:tblGrid>
        <w:gridCol w:w="5660"/>
        <w:gridCol w:w="60"/>
        <w:gridCol w:w="175"/>
        <w:gridCol w:w="700"/>
        <w:gridCol w:w="60"/>
        <w:gridCol w:w="60"/>
        <w:gridCol w:w="283"/>
        <w:gridCol w:w="1132"/>
        <w:gridCol w:w="75"/>
      </w:tblGrid>
      <w:tr>
        <w:trPr/>
        <w:tc>
          <w:tcPr>
            <w:tcW w:w="5660" w:type="dxa"/>
            <w:tcBorders/>
            <w:shd w:fill="FFFFFF" w:val="clear"/>
            <w:vAlign w:val="center"/>
          </w:tcPr>
          <w:p>
            <w:pPr>
              <w:pStyle w:val="TableContents"/>
              <w:bidi w:val="0"/>
              <w:spacing w:before="0" w:after="283"/>
              <w:jc w:val="left"/>
              <w:rPr/>
            </w:pPr>
            <w:r>
              <w:rPr/>
              <w:t>Schedule of aggregate principal amount of debt outstanding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Senior secured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1,273</w:t>
            </w:r>
          </w:p>
        </w:tc>
        <w:tc>
          <w:tcPr>
            <w:tcW w:w="7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Convertible promissory notes,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3,107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3,133</w:t>
            </w:r>
          </w:p>
        </w:tc>
        <w:tc>
          <w:tcPr>
            <w:tcW w:w="7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4,537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4,406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at $8.50 per share. The outstanding principal amount of the Senior Secured Notes of $1,000 and all accrued but unpaid interest will be due and payable at the maturity date, 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 As of June 30, 2026, the Senior Secured Notes are potentially convertible into 168,184 shares of the Company’s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principal and accrued interest outstanding under the Senior Secured Notes totaled $1,273. The Company recognized approximately $157 of interest expense for the six months ended June 30, 2026, which is included within interest expense in the condensed consolidated statements of operations and comprehensive income (loss). As of June 30, 2026, the aggregate principal and accrued interest outstanding under the Senior Secured Notes totaled $1,430.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a securities purchase agreement with accredited investors pursuant to which the Company issued secured convertible promissory notes (the “Convertible Promissory Notes”) and warrants to purchase an aggregate of 37,500,000 shares of the Company’s common stock (the “Warrants”) for aggregate gross proceeds of $3.0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bear simple interest at a rate of 10.00% per annum and had an original maturity date in June 2026, unless earlier converted or repaid in accordance with their terms. Interest accrues daily based on a 360-day year and is not payable in cash before maturity unless the Convertible Promissory Notes are repaid before conversion. The conversion price is $0.04 per share, subject to customary anti-dilution adjustments for stock splits, stock dividends, combinations, or recapitalizations.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 2026, the Company and the holders amended the Convertible Promissory Notes to extend the maturity date to June 2027 and replace the provision requiring automatic conversion upon the closing of a qualified financing. Under the amended terms, if (i) the volume-weighted average price of the Company’s common stock on the immediately preceding trading day equals or exceeds $0.60 per share and (ii) the average daily traded value of the Company’s common stock for the five immediately preceding trading days equals or exceeds $1.0 million, the Company may elect to convert all or any portion of the outstanding principal balance into shares of common stock at a conversion price of $0.04 per share, subject to customary adjustments for stock splits, stock dividends, combinations, recapitalizations and similar events. Any accrued and unpaid interest attributable to principal converted pursuant to the amended conversion provision is automatically forgiven upon conversion. If the Company elects to convert the entire $3.0 million outstanding principal balance, the Convertible Promissory Notes would convert into 75,000,000 shares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amendment under the debt modification and extinguishment guidance in ASC 470-50. The present value of the cash flows under the amended terms differed from the present value of the remaining cash flows under the original terms by approximately 3.05%. In addition, the change in the fair value of the embedded conversion option was approximately 7.08% of the carrying amount of the Convertible Promissory Notes immediately before the amendment, and the amendment did not add or eliminate a substantive conversion option. Because the applicable changes were less than 10%, the Company accounted for the amendment as a debt modification rather than a debt extinguishment. Accordingly, the Company did not recognize a gain or loss on extinguishment.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increased the fair value of the embedded conversion option by approximately $232,000. The Company recorded the increase as a debt discount, with a corresponding increase to additional paid-in capital. The debt discount, together with the remaining unamortized debt issuance costs associated with the original issuance, is being amortized to interest expense over the remaining term of the amended Convertible Promissory Notes using the effective-interest method. Following the amendment, the revised effective interest rate is approximately 17.70%.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applicable holder and are secured pursuant to a security agreement entered into concurrently with their original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applicable holder, or automatically upon the occurrence of certain bankruptcy-related events, the Convertible Promissory Notes become immediately due and payable, together with all accrued and unpaid interest. Events of default include, among other matters, (i) failure to pay principal or interest when due, (ii) breaches of covenants contained in the Convertible Promissory Notes or the securities purchase agreement, (iii) specified bankruptcy or insolvency events and (iv) defaults under other indebtedness exceeding $200,000.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original issuance of the Convertible Promissory Notes, the Company incurred debt issuance costs of approximately $75,000. The debt issuance costs were recorded as a direct deduction from the carrying amount of the Convertible Promissory Notes. Before the June 2026 amendment, the debt issuance costs were amortized using an original effective interest rate of approximately 12.64%. Following the amendment, the remaining unamortized debt issuance costs are being amortized over the amended remaining term using the revised effective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Convertible Promissory Notes at amortized cost. At issuance, no portion of the proceeds was allocated to the embedded conversion features because the conversion features did not require bifurcation and separate accounting as derivative instruments under ASC 815. The fair value of the Warrants issued in connection with the Convertible Promissory Notes was not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carrying amount of the Convertible Promissory Notes and related accrued interest was approximately $3.1 million, net of a valuation discount of $33. At June 30, 2026, the aggregate outstanding principal and accrued interest was approximately $3.1 million, net of the unamortized debt discount of $211 recognized in connection with the amendment and the remaining unamortized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recognized approximately $203 of interest expense, including contractual interest, approximately $33 of amortization of the original debt issuance costs and approximately $19 of amortization of the debt discount recognized in connection with the June 2026 amendment. Interest expense is included within interest expense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Forbearance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is included in accounts payable, and the remaining $1,887 becomes contingently payable based upon the completion of capital-raising transactions generating at least $45,000 and $55,000, respectively, in aggregate proceeds.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$1,887 Overdue Amount that is now contingently payable as an extinguishment of debt due to management’s assessment that it is not probable that the Company will reach the equity raising threshold that would require repayment of these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A Convertible Preferred Stock and their principal were as follows:</w:t>
      </w:r>
    </w:p>
    <w:tbl>
      <w:tblPr>
        <w:tblW w:w="10205" w:type="dxa"/>
        <w:jc w:val="left"/>
        <w:tblInd w:w="0" w:type="dxa"/>
        <w:tblLayout w:type="fixed"/>
        <w:tblCellMar>
          <w:top w:w="0" w:type="dxa"/>
          <w:left w:w="0" w:type="dxa"/>
          <w:bottom w:w="0" w:type="dxa"/>
          <w:right w:w="0" w:type="dxa"/>
        </w:tblCellMar>
      </w:tblPr>
      <w:tblGrid>
        <w:gridCol w:w="2314"/>
        <w:gridCol w:w="60"/>
        <w:gridCol w:w="68"/>
        <w:gridCol w:w="783"/>
        <w:gridCol w:w="60"/>
        <w:gridCol w:w="60"/>
        <w:gridCol w:w="86"/>
        <w:gridCol w:w="1089"/>
        <w:gridCol w:w="95"/>
        <w:gridCol w:w="60"/>
        <w:gridCol w:w="105"/>
        <w:gridCol w:w="1334"/>
        <w:gridCol w:w="95"/>
        <w:gridCol w:w="60"/>
        <w:gridCol w:w="174"/>
        <w:gridCol w:w="791"/>
        <w:gridCol w:w="95"/>
        <w:gridCol w:w="60"/>
        <w:gridCol w:w="610"/>
        <w:gridCol w:w="610"/>
        <w:gridCol w:w="60"/>
        <w:gridCol w:w="60"/>
        <w:gridCol w:w="66"/>
        <w:gridCol w:w="1296"/>
        <w:gridCol w:w="114"/>
      </w:tblGrid>
      <w:tr>
        <w:trPr/>
        <w:tc>
          <w:tcPr>
            <w:tcW w:w="2314" w:type="dxa"/>
            <w:tcBorders/>
            <w:vAlign w:val="center"/>
          </w:tcPr>
          <w:p>
            <w:pPr>
              <w:pStyle w:val="TableContents"/>
              <w:bidi w:val="0"/>
              <w:spacing w:before="0" w:after="283"/>
              <w:jc w:val="left"/>
              <w:rPr/>
            </w:pPr>
            <w:r>
              <w:rPr/>
              <w:t>Schedule of Series a convertible preferred stock</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6"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A Convertible Preferred Stock</w:t>
            </w:r>
          </w:p>
        </w:tc>
        <w:tc>
          <w:tcPr>
            <w:tcW w:w="11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br/>
              <w:t>and 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11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p>
        </w:tc>
        <w:tc>
          <w:tcPr>
            <w:tcW w:w="6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15,000,000</w:t>
            </w:r>
          </w:p>
        </w:tc>
        <w:tc>
          <w:tcPr>
            <w:tcW w:w="114" w:type="dxa"/>
            <w:tcBorders/>
            <w:shd w:fill="CCEEFF" w:val="clear"/>
            <w:vAlign w:val="center"/>
          </w:tcPr>
          <w:p>
            <w:pPr>
              <w:pStyle w:val="TableContents"/>
              <w:bidi w:val="0"/>
              <w:spacing w:before="0" w:after="283"/>
              <w:jc w:val="left"/>
              <w:rPr/>
            </w:pPr>
            <w:r>
              <w:rPr/>
              <w:t> </w:t>
            </w:r>
          </w:p>
        </w:tc>
      </w:tr>
      <w:tr>
        <w:trPr/>
        <w:tc>
          <w:tcPr>
            <w:tcW w:w="2314"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Converted to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CCEEFF" w:val="clear"/>
            <w:tcMar>
              <w:bottom w:w="28" w:type="dxa"/>
            </w:tcM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(15,000,000</w:t>
            </w:r>
          </w:p>
        </w:tc>
        <w:tc>
          <w:tcPr>
            <w:tcW w:w="114" w:type="dxa"/>
            <w:tcBorders/>
            <w:shd w:fill="CCEEFF" w:val="clear"/>
            <w:vAlign w:val="center"/>
          </w:tcPr>
          <w:p>
            <w:pPr>
              <w:pStyle w:val="TableContents"/>
              <w:bidi w:val="0"/>
              <w:spacing w:before="0" w:after="283"/>
              <w:jc w:val="left"/>
              <w:rPr/>
            </w:pPr>
            <w:r>
              <w:rPr/>
              <w:t>)</w:t>
            </w:r>
          </w:p>
        </w:tc>
      </w:tr>
      <w:tr>
        <w:trPr/>
        <w:tc>
          <w:tcPr>
            <w:tcW w:w="2314"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 total of 15,000,000 shares of Common Stock pursuant to the automatic conversion of 15,000 shares of Series A Convertible Preferred Stock upon completion of certain trigger events. Subsequent to the automatic conversion, the Certificate of Designations of the Series A Convertible Preferred Stock was withdrawn and all previously designated shares of Series A were returned to their status as authorized preferred stock available for issuance.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C Convertible Preferred Stock and their principal were as follows:</w:t>
      </w:r>
    </w:p>
    <w:tbl>
      <w:tblPr>
        <w:tblW w:w="10205" w:type="dxa"/>
        <w:jc w:val="left"/>
        <w:tblInd w:w="0" w:type="dxa"/>
        <w:tblLayout w:type="fixed"/>
        <w:tblCellMar>
          <w:top w:w="0" w:type="dxa"/>
          <w:left w:w="0" w:type="dxa"/>
          <w:bottom w:w="0" w:type="dxa"/>
          <w:right w:w="0" w:type="dxa"/>
        </w:tblCellMar>
      </w:tblPr>
      <w:tblGrid>
        <w:gridCol w:w="2447"/>
        <w:gridCol w:w="60"/>
        <w:gridCol w:w="69"/>
        <w:gridCol w:w="792"/>
        <w:gridCol w:w="60"/>
        <w:gridCol w:w="60"/>
        <w:gridCol w:w="95"/>
        <w:gridCol w:w="1080"/>
        <w:gridCol w:w="60"/>
        <w:gridCol w:w="60"/>
        <w:gridCol w:w="116"/>
        <w:gridCol w:w="1337"/>
        <w:gridCol w:w="60"/>
        <w:gridCol w:w="60"/>
        <w:gridCol w:w="193"/>
        <w:gridCol w:w="772"/>
        <w:gridCol w:w="60"/>
        <w:gridCol w:w="60"/>
        <w:gridCol w:w="610"/>
        <w:gridCol w:w="610"/>
        <w:gridCol w:w="60"/>
        <w:gridCol w:w="60"/>
        <w:gridCol w:w="68"/>
        <w:gridCol w:w="1278"/>
        <w:gridCol w:w="78"/>
      </w:tblGrid>
      <w:tr>
        <w:trPr/>
        <w:tc>
          <w:tcPr>
            <w:tcW w:w="2447" w:type="dxa"/>
            <w:tcBorders/>
            <w:shd w:fill="FFFFFF" w:val="clear"/>
            <w:vAlign w:val="center"/>
          </w:tcPr>
          <w:p>
            <w:pPr>
              <w:pStyle w:val="TableContents"/>
              <w:bidi w:val="0"/>
              <w:spacing w:before="0" w:after="283"/>
              <w:jc w:val="left"/>
              <w:rPr/>
            </w:pPr>
            <w:r>
              <w:rPr/>
              <w:t>Schedule of Series C convertible preferred stock</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4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C Convertible Preferred Stock</w:t>
            </w:r>
          </w:p>
        </w:tc>
        <w:tc>
          <w:tcPr>
            <w:tcW w:w="78" w:type="dxa"/>
            <w:tcBorders/>
            <w:vAlign w:val="center"/>
          </w:tcPr>
          <w:p>
            <w:pPr>
              <w:pStyle w:val="TableContents"/>
              <w:bidi w:val="0"/>
              <w:spacing w:before="0" w:after="283"/>
              <w:jc w:val="left"/>
              <w:rPr/>
            </w:pPr>
            <w:r>
              <w:rPr/>
              <w:t> </w:t>
            </w:r>
          </w:p>
        </w:tc>
      </w:tr>
      <w:tr>
        <w:trPr/>
        <w:tc>
          <w:tcPr>
            <w:tcW w:w="2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8" w:type="dxa"/>
            <w:tcBorders/>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p>
        </w:tc>
        <w:tc>
          <w:tcPr>
            <w:tcW w:w="6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11,983,000</w:t>
            </w:r>
          </w:p>
        </w:tc>
        <w:tc>
          <w:tcPr>
            <w:tcW w:w="78"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283"/>
              <w:jc w:val="left"/>
              <w:rPr/>
            </w:pPr>
            <w:r>
              <w:rPr/>
              <w:t>Converted to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pPr>
            <w:r>
              <w:rPr/>
              <w:t>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r>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jc w:val="right"/>
              <w:rPr/>
            </w:pPr>
            <w:r>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bottom w:w="28" w:type="dxa"/>
            </w:tcMar>
            <w:vAlign w:val="center"/>
          </w:tcPr>
          <w:p>
            <w:pPr>
              <w:pStyle w:val="TableContents"/>
              <w:bidi w:val="0"/>
              <w:spacing w:before="0" w:after="283"/>
              <w:jc w:val="right"/>
              <w:rPr/>
            </w:pPr>
            <w:r>
              <w:rPr/>
              <w:t>11,983,000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D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D Convertible Preferred Stock and their principal were as follows:</w:t>
      </w:r>
    </w:p>
    <w:tbl>
      <w:tblPr>
        <w:tblW w:w="10205" w:type="dxa"/>
        <w:jc w:val="left"/>
        <w:tblInd w:w="0" w:type="dxa"/>
        <w:tblLayout w:type="fixed"/>
        <w:tblCellMar>
          <w:top w:w="0" w:type="dxa"/>
          <w:left w:w="0" w:type="dxa"/>
          <w:bottom w:w="0" w:type="dxa"/>
          <w:right w:w="0" w:type="dxa"/>
        </w:tblCellMar>
      </w:tblPr>
      <w:tblGrid>
        <w:gridCol w:w="2450"/>
        <w:gridCol w:w="60"/>
        <w:gridCol w:w="69"/>
        <w:gridCol w:w="791"/>
        <w:gridCol w:w="60"/>
        <w:gridCol w:w="60"/>
        <w:gridCol w:w="95"/>
        <w:gridCol w:w="1080"/>
        <w:gridCol w:w="60"/>
        <w:gridCol w:w="60"/>
        <w:gridCol w:w="116"/>
        <w:gridCol w:w="1335"/>
        <w:gridCol w:w="60"/>
        <w:gridCol w:w="60"/>
        <w:gridCol w:w="164"/>
        <w:gridCol w:w="801"/>
        <w:gridCol w:w="60"/>
        <w:gridCol w:w="60"/>
        <w:gridCol w:w="208"/>
        <w:gridCol w:w="1012"/>
        <w:gridCol w:w="60"/>
        <w:gridCol w:w="60"/>
        <w:gridCol w:w="68"/>
        <w:gridCol w:w="1276"/>
        <w:gridCol w:w="80"/>
      </w:tblGrid>
      <w:tr>
        <w:trPr/>
        <w:tc>
          <w:tcPr>
            <w:tcW w:w="2450" w:type="dxa"/>
            <w:tcBorders/>
            <w:vAlign w:val="center"/>
          </w:tcPr>
          <w:p>
            <w:pPr>
              <w:pStyle w:val="TableContents"/>
              <w:bidi w:val="0"/>
              <w:spacing w:before="0" w:after="283"/>
              <w:jc w:val="left"/>
              <w:rPr/>
            </w:pPr>
            <w:r>
              <w:rPr/>
              <w:t>Schedule of Series D convertible preferred stock</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D Convertible Preferred Stock</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34,160,784</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Capitalized dividends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516,967</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Converted to common stock</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14,065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pPr>
            <w:r>
              <w:rPr/>
              <w:t>16,750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34,677,751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the Company sold and issued to accredited investors a total of 15,000 shares of Series D preferred shares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The Company intends to use the net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Each share of Series D Convertible Preferred Stock is convertible into 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is not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connection with the Offering, the Company paid the Placement Agents: (i) a cash fee equal to 6% of the gross proceeds received by the Company in the Offering, and (ii) issued them warrants to purchase 2% of the shares of Common Stock issuable upon conversion of the Series 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Series D Convertible Preferred Stock are entitled to cumulative dividends at an annual rate of 8% of the then-current stated value of the Series D Convertible Preferred Stock. Dividends are payable quarterly in arrears in shares of the Company’s Common Stock based on the applicable conversion price. At the Company’s election, all or a portion of a dividend may instead be capitalized by increasing the stated value of the Series D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D Convertible Preferred Stock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Convertible Preferred Stock had an aggregate stated value of $15,000 when issued in April 2026. The Company incurred approximately $1,162 in issuance costs in connection with the offering, which were recorded as a reduction of additional paid-in capital. Accordingly, the net carrying amount attributable to the Series D Convertible Preferred Stock was approximately $13,838 at the issuance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 elected to capitalize the accrued dividend rather than issue shares of Common Stock. The prorated dividend from the issuance date through June 30, 2026 was approximately $227. The capitalized dividend increased the aggregate stated value of the Series D Convertible Preferred Stock from $15,000 to $15,227. No cash was paid, and no additional shares of Common Stock or Series D Convertible Preferred Stock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value, carrying amount and liquidation preference of the Series D Convertible Preferred Stock were as follows:</w:t>
      </w:r>
    </w:p>
    <w:tbl>
      <w:tblPr>
        <w:tblW w:w="6329" w:type="dxa"/>
        <w:jc w:val="left"/>
        <w:tblInd w:w="0" w:type="dxa"/>
        <w:tblLayout w:type="fixed"/>
        <w:tblCellMar>
          <w:top w:w="0" w:type="dxa"/>
          <w:left w:w="0" w:type="dxa"/>
          <w:bottom w:w="0" w:type="dxa"/>
          <w:right w:w="0" w:type="dxa"/>
        </w:tblCellMar>
      </w:tblPr>
      <w:tblGrid>
        <w:gridCol w:w="5285"/>
        <w:gridCol w:w="60"/>
        <w:gridCol w:w="149"/>
        <w:gridCol w:w="725"/>
        <w:gridCol w:w="110"/>
      </w:tblGrid>
      <w:tr>
        <w:trPr/>
        <w:tc>
          <w:tcPr>
            <w:tcW w:w="5285" w:type="dxa"/>
            <w:tcBorders/>
            <w:vAlign w:val="center"/>
          </w:tcPr>
          <w:p>
            <w:pPr>
              <w:pStyle w:val="TableContents"/>
              <w:bidi w:val="0"/>
              <w:spacing w:before="0" w:after="283"/>
              <w:jc w:val="left"/>
              <w:rPr/>
            </w:pPr>
            <w:r>
              <w:rPr/>
              <w:t>Schedule of carrying amount and liquidation preference</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Original aggregate stated value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15,000</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Capitalized dividend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110"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rPr>
            </w:pPr>
            <w:r>
              <w:rPr>
                <w:b/>
              </w:rPr>
              <w:t>Ending aggregate stated value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15,227</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Less: issuance costs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(1,162</w:t>
            </w:r>
          </w:p>
        </w:tc>
        <w:tc>
          <w:tcPr>
            <w:tcW w:w="110" w:type="dxa"/>
            <w:tcBorders/>
            <w:shd w:fill="FFFFFF" w:val="clear"/>
            <w:vAlign w:val="center"/>
          </w:tcPr>
          <w:p>
            <w:pPr>
              <w:pStyle w:val="TableContents"/>
              <w:bidi w:val="0"/>
              <w:spacing w:before="0" w:after="283"/>
              <w:jc w:val="left"/>
              <w:rPr/>
            </w:pPr>
            <w:r>
              <w:rPr/>
              <w:t>)</w:t>
            </w:r>
          </w:p>
        </w:tc>
      </w:tr>
      <w:tr>
        <w:trPr/>
        <w:tc>
          <w:tcPr>
            <w:tcW w:w="5285" w:type="dxa"/>
            <w:tcBorders/>
            <w:shd w:fill="CCEEFF" w:val="clear"/>
            <w:vAlign w:val="center"/>
          </w:tcPr>
          <w:p>
            <w:pPr>
              <w:pStyle w:val="TableContents"/>
              <w:bidi w:val="0"/>
              <w:spacing w:before="0" w:after="283"/>
              <w:jc w:val="left"/>
              <w:rPr>
                <w:b/>
              </w:rPr>
            </w:pPr>
            <w:r>
              <w:rPr>
                <w:b/>
              </w:rPr>
              <w:t>Ending carrying amount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14,065</w:t>
            </w:r>
          </w:p>
        </w:tc>
        <w:tc>
          <w:tcPr>
            <w:tcW w:w="110"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Minimum liquidation preference, 110% of stated value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16,750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Series D Convertible Preferred Stock, upon a liquidation event, holders are entitled to receive, before any distribution to holders of Common Stock or junior securities, an amount equal to the greater of (i) 110% of the then-current stated value and (ii) the amount the holders would have received had the Series D Convertible Preferred Stock been converted into Common Stock immediately before the liquidation event. Accordingly, the minimum aggregate liquidation preference as of June 30, 2026 was approximately $16,750. The actual liquidation preference could be greater depending on the value of the consideration payable to holders of Common Stock in the applicable liquidation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dividend was recorded as an increase to additional paid-in capital attributable to the Series D Convertible Preferred Stock and a corresponding increase to accumulated deficit. The dividend did not affect net loss, comprehensive loss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basic and diluted net loss per share attributable to common stockholders, the $227 capitalized dividend was deducted from net loss. As a result, net loss attributable to common stockholders was approximately $2,043 and $3,353 for the three and six months ended June 30, 2026, respectively. The dividend did not change the reported basic or diluted net loss per share after rounding, which remained $0.01 and $0.02 for the three-and six-month periods,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Liquidation and Deemed-Liquidation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Convertible Preferred Stock has no fixed maturity date and does not provide the holders with a general right to require the Company to redeem the shares while the Company continues as a going concern. However, upon the occurrence of a Liquidation Event, each holder is entitled to receive, before any distribution is made to holders of Common Stock or other junior securities, cash from the assets of the Company legally available for distribution in an amount equal to the greater of (i) 110% of the then-current stated value of the holder’s Series D Convertible Preferred Stock and (ii) the amount the holder would have been entitled to receive had the Series D Convertible Preferred Stock been converted into Common Stock immediately before the Liquidation Event. A holder may elect to receive Common Stock, based on the then-current conversion rate, in lieu of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Liquidation Event includes a voluntary or involuntary liquidation, dissolution or winding up of the Company and certain merger, consolidation or other transactions after which the Company’s pre-transaction stockholders own less than 50% of the equity or voting power of the surviving entity, subject to the financing-transaction exception contained in the Certificate of Designations.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Series D Convertible Preferred Stock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480-10-S99-3A, </w:t>
      </w:r>
      <w:r>
        <w:rPr>
          <w:rFonts w:ascii="Times New Roman;Times;Serif" w:hAnsi="Times New Roman;Times;Serif"/>
          <w:b w:val="false"/>
          <w:i/>
          <w:caps w:val="false"/>
          <w:smallCaps w:val="false"/>
          <w:sz w:val="20"/>
        </w:rPr>
        <w:t>Classification and Measurement of Redeemable Securities</w:t>
      </w:r>
      <w:r>
        <w:rPr>
          <w:rFonts w:ascii="Times New Roman;Times;Serif" w:hAnsi="Times New Roman;Times;Serif"/>
          <w:b w:val="false"/>
          <w:i w:val="false"/>
          <w:caps w:val="false"/>
          <w:smallCaps w:val="false"/>
          <w:sz w:val="20"/>
        </w:rPr>
        <w:t>. The Series D Convertible Preferred Stock is not mandatorily redeemable because it has no fixed redemption date, does not provide the holders with a general right to require redemption and does not otherwise contain an unconditional obligation requiring the Company to transfer cash or other assets. Accordingly, the Series D Convertible Preferred Stock is not classified as a liability under ASC 480.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classification within permanent stockholders’ equity is appropriate. The cash preference payable upon an actual liquidation, dissolution or winding up represents an ordinary liquidation preference and does not require temporary-equity classification. In addition, a merger or consolidation that would constitute a deemed Liquidation Event requires substantive approval by the Company’s Board of Directors. The Board may withhold its approval and the holders of the Series D Convertible Preferred Stock do not control the Board or otherwise have the contractual ability to compel the Company to enter into such a transaction. Accordingly, the deemed-liquidation event is within the Company’s control for purposes of ASC 480-10-S99-3A. The Series D Convertible Preferred Stock is therefore classified within permanent stockholders’ equity, and the Company does not accrete its carrying amount to the 110% liquidation preference. The Company will reassess the classification if the relevant contractual, governance or control circumstances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authorized 600,000,000 shares of $0.0001 par value Common Stock. Each share of Common Stock entitles the holder to one vote, together with the holders of the Series C and Series D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 total of 15,000,000 shares of Common Stock pursuant to the automatic conversion of shares of Series A Convertible Preferred Stock upon completion of certain trigger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issued 10,415 shares of the Company’s Common Stock pursuant to a stock option exercise, resulting in net proceeds of $1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25,000 restricted stock units vested during the three months ended March 31, 2025, and the corresponding shares were issued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Consent Agreement with Sandia under which Sandia waived certain rights and existing defaults under the Senior Secured Note agreement related to the issuance of Convertible Promissory Notes. The Company issued 34,000,000 shares of common stock in exchange for such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Unvested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28, 2024 of the business combination with Andretti Acquisition Corp. (“AAC”), 1,129,630 shares of Sponsor Shares became unvested and are subject to the forfeiture pursuant to the available cash provisions as described in the sponsor support agreement in contemplation of the Merger. All of the Unvested Shares will become vested if, within three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six months ended June 30,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during the six months ended June 30, 2026 is as follows:</w:t>
      </w:r>
    </w:p>
    <w:tbl>
      <w:tblPr>
        <w:tblW w:w="10205" w:type="dxa"/>
        <w:jc w:val="left"/>
        <w:tblInd w:w="0" w:type="dxa"/>
        <w:tblLayout w:type="fixed"/>
        <w:tblCellMar>
          <w:top w:w="0" w:type="dxa"/>
          <w:left w:w="0" w:type="dxa"/>
          <w:bottom w:w="0" w:type="dxa"/>
          <w:right w:w="0" w:type="dxa"/>
        </w:tblCellMar>
      </w:tblPr>
      <w:tblGrid>
        <w:gridCol w:w="3833"/>
        <w:gridCol w:w="60"/>
        <w:gridCol w:w="60"/>
        <w:gridCol w:w="1100"/>
        <w:gridCol w:w="60"/>
        <w:gridCol w:w="60"/>
        <w:gridCol w:w="232"/>
        <w:gridCol w:w="1134"/>
        <w:gridCol w:w="60"/>
        <w:gridCol w:w="60"/>
        <w:gridCol w:w="231"/>
        <w:gridCol w:w="1694"/>
        <w:gridCol w:w="60"/>
        <w:gridCol w:w="60"/>
        <w:gridCol w:w="242"/>
        <w:gridCol w:w="1181"/>
        <w:gridCol w:w="78"/>
      </w:tblGrid>
      <w:tr>
        <w:trPr/>
        <w:tc>
          <w:tcPr>
            <w:tcW w:w="3833" w:type="dxa"/>
            <w:tcBorders/>
            <w:vAlign w:val="center"/>
          </w:tcPr>
          <w:p>
            <w:pPr>
              <w:pStyle w:val="TableContents"/>
              <w:bidi w:val="0"/>
              <w:spacing w:before="0" w:after="283"/>
              <w:jc w:val="left"/>
              <w:rPr/>
            </w:pPr>
            <w:r>
              <w:rPr/>
              <w:t>Schedule of warrant activity</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38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8" w:type="dxa"/>
            <w:tcBorders/>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65,096</w:t>
            </w:r>
          </w:p>
        </w:tc>
        <w:tc>
          <w:tcPr>
            <w:tcW w:w="78" w:type="dxa"/>
            <w:tcBorders/>
            <w:shd w:fill="CCEEFF" w:val="clear"/>
            <w:vAlign w:val="center"/>
          </w:tcPr>
          <w:p>
            <w:pPr>
              <w:pStyle w:val="TableContents"/>
              <w:bidi w:val="0"/>
              <w:spacing w:before="0" w:after="283"/>
              <w:jc w:val="left"/>
              <w:rPr/>
            </w:pPr>
            <w:r>
              <w:rPr/>
              <w:t> </w:t>
            </w:r>
          </w:p>
        </w:tc>
      </w:tr>
      <w:tr>
        <w:trPr/>
        <w:tc>
          <w:tcPr>
            <w:tcW w:w="383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17,763,605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0.4391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833" w:type="dxa"/>
            <w:tcBorders/>
            <w:shd w:fill="FFFFFF" w:val="clear"/>
            <w:vAlign w:val="center"/>
          </w:tcPr>
          <w:p>
            <w:pPr>
              <w:pStyle w:val="TableContents"/>
              <w:bidi w:val="0"/>
              <w:spacing w:before="0" w:after="283"/>
              <w:jc w:val="left"/>
              <w:rPr/>
            </w:pPr>
            <w:r>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85,063,587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CCEEFF" w:val="clear"/>
            <w:tcMar>
              <w:bottom w:w="28" w:type="dxa"/>
            </w:tcMar>
            <w:vAlign w:val="center"/>
          </w:tcPr>
          <w:p>
            <w:pPr>
              <w:pStyle w:val="TableContents"/>
              <w:bidi w:val="0"/>
              <w:spacing w:before="0" w:after="283"/>
              <w:jc w:val="right"/>
              <w:rPr/>
            </w:pPr>
            <w:r>
              <w:rPr/>
              <w:t>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jc w:val="right"/>
              <w:rPr/>
            </w:pPr>
            <w:r>
              <w:rPr/>
              <w:t>76,217</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3833" w:type="dxa"/>
            <w:tcBorders/>
            <w:shd w:fill="FFFFFF" w:val="clear"/>
            <w:vAlign w:val="center"/>
          </w:tcPr>
          <w:p>
            <w:pPr>
              <w:pStyle w:val="TableContents"/>
              <w:bidi w:val="0"/>
              <w:spacing w:before="0" w:after="283"/>
              <w:jc w:val="left"/>
              <w:rPr/>
            </w:pPr>
            <w:r>
              <w:rPr/>
              <w:t>Warrants 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84,163,587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FFFFFF" w:val="clear"/>
            <w:tcMar>
              <w:bottom w:w="28" w:type="dxa"/>
            </w:tcMar>
            <w:vAlign w:val="center"/>
          </w:tcPr>
          <w:p>
            <w:pPr>
              <w:pStyle w:val="TableContents"/>
              <w:bidi w:val="0"/>
              <w:spacing w:before="0" w:after="283"/>
              <w:jc w:val="right"/>
              <w:rPr/>
            </w:pPr>
            <w:r>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jc w:val="right"/>
              <w:rPr/>
            </w:pPr>
            <w:r>
              <w:rPr/>
              <w:t>75,074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2026, the Company issued 17,080,392 warrants to investors to purchase shares of common stock in connection with the issuance of the Series D Convertible Preferred Stock and 683,213 warrants to the Company’s placement agents. The warrants have an initial exercise price of $0.4391 per share, subject to adjustment, and may be exercised for cash or, under certain circumstances, on a cashless basis, and expire on October 19, 2033. The Company evaluated the warrants under ASC 480 and ASC 815-40 and determined that the warrants are equity-classified instruments. The warrants are not mandatorily redeemable, do not require net cash settlement, and are indexed to the Company’s own common stock. Although the warrants contain certain anti-dilution adjustment provisions, including adjustments upon certain dilutive issuances, the Company concluded that such provisions do not preclude equity classification. Accordingly, the warrants are classified as equity, and their fair value was measured using the Black-Scholes option-pricing model. The fair value of the warrants on the date of issuance was immaterial and will not be remeasured in subsequent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$1.27 per share on June 30, 2026, the intrinsic value attributed to exercisable and unexercised Common Stock warrants was $75,074 at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no unrecognized compensation cost related to unvested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during the six months ended June 30, 2026 is as follows: </w:t>
      </w:r>
    </w:p>
    <w:tbl>
      <w:tblPr>
        <w:tblW w:w="10205" w:type="dxa"/>
        <w:jc w:val="left"/>
        <w:tblInd w:w="0" w:type="dxa"/>
        <w:tblLayout w:type="fixed"/>
        <w:tblCellMar>
          <w:top w:w="0" w:type="dxa"/>
          <w:left w:w="0" w:type="dxa"/>
          <w:bottom w:w="0" w:type="dxa"/>
          <w:right w:w="0" w:type="dxa"/>
        </w:tblCellMar>
      </w:tblPr>
      <w:tblGrid>
        <w:gridCol w:w="3789"/>
        <w:gridCol w:w="60"/>
        <w:gridCol w:w="60"/>
        <w:gridCol w:w="1100"/>
        <w:gridCol w:w="95"/>
        <w:gridCol w:w="60"/>
        <w:gridCol w:w="330"/>
        <w:gridCol w:w="1040"/>
        <w:gridCol w:w="60"/>
        <w:gridCol w:w="60"/>
        <w:gridCol w:w="231"/>
        <w:gridCol w:w="1694"/>
        <w:gridCol w:w="60"/>
        <w:gridCol w:w="60"/>
        <w:gridCol w:w="212"/>
        <w:gridCol w:w="1216"/>
        <w:gridCol w:w="78"/>
      </w:tblGrid>
      <w:tr>
        <w:trPr/>
        <w:tc>
          <w:tcPr>
            <w:tcW w:w="3789" w:type="dxa"/>
            <w:tcBorders/>
            <w:vAlign w:val="center"/>
          </w:tcPr>
          <w:p>
            <w:pPr>
              <w:pStyle w:val="TableContents"/>
              <w:bidi w:val="0"/>
              <w:spacing w:before="0" w:after="283"/>
              <w:jc w:val="left"/>
              <w:rPr/>
            </w:pPr>
            <w:r>
              <w:rPr/>
              <w:t>Schedule of stock option activity</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37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8" w:type="dxa"/>
            <w:tcBorders/>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39,003,451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58,598</w:t>
            </w:r>
          </w:p>
        </w:tc>
        <w:tc>
          <w:tcPr>
            <w:tcW w:w="78" w:type="dxa"/>
            <w:tcBorders/>
            <w:shd w:fill="CCEEFF" w:val="clear"/>
            <w:vAlign w:val="center"/>
          </w:tcPr>
          <w:p>
            <w:pPr>
              <w:pStyle w:val="TableContents"/>
              <w:bidi w:val="0"/>
              <w:spacing w:before="0" w:after="283"/>
              <w:jc w:val="left"/>
              <w:rPr/>
            </w:pPr>
            <w:r>
              <w:rPr/>
              <w:t> </w:t>
            </w:r>
          </w:p>
        </w:tc>
      </w:tr>
      <w:tr>
        <w:trPr/>
        <w:tc>
          <w:tcPr>
            <w:tcW w:w="3789"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11,850,000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789" w:type="dxa"/>
            <w:tcBorders/>
            <w:shd w:fill="FFFFFF" w:val="clear"/>
            <w:vAlign w:val="center"/>
          </w:tcPr>
          <w:p>
            <w:pPr>
              <w:pStyle w:val="TableContents"/>
              <w:bidi w:val="0"/>
              <w:spacing w:before="0" w:after="283"/>
              <w:jc w:val="left"/>
              <w:rPr/>
            </w:pPr>
            <w:r>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50,843,036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CCEEFF" w:val="clear"/>
            <w:tcMar>
              <w:bottom w:w="28" w:type="dxa"/>
            </w:tcMar>
            <w:vAlign w:val="center"/>
          </w:tcPr>
          <w:p>
            <w:pPr>
              <w:pStyle w:val="TableContents"/>
              <w:bidi w:val="0"/>
              <w:spacing w:before="0" w:after="283"/>
              <w:jc w:val="right"/>
              <w:rPr/>
            </w:pPr>
            <w:r>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283"/>
              <w:jc w:val="right"/>
              <w:rPr/>
            </w:pPr>
            <w:r>
              <w:rPr/>
              <w:t>101,214</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3789" w:type="dxa"/>
            <w:tcBorders/>
            <w:shd w:fill="FFFFFF" w:val="clear"/>
            <w:vAlign w:val="center"/>
          </w:tcPr>
          <w:p>
            <w:pPr>
              <w:pStyle w:val="TableContents"/>
              <w:bidi w:val="0"/>
              <w:spacing w:before="0" w:after="283"/>
              <w:jc w:val="left"/>
              <w:rPr/>
            </w:pPr>
            <w:r>
              <w:rPr/>
              <w:t>Options 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3,000,600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pPr>
            <w:r>
              <w:rPr/>
              <w:t>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FFFFFF" w:val="clear"/>
            <w:tcMar>
              <w:bottom w:w="28" w:type="dxa"/>
            </w:tcMar>
            <w:vAlign w:val="center"/>
          </w:tcPr>
          <w:p>
            <w:pPr>
              <w:pStyle w:val="TableContents"/>
              <w:bidi w:val="0"/>
              <w:spacing w:before="0" w:after="283"/>
              <w:jc w:val="right"/>
              <w:rPr/>
            </w:pPr>
            <w:r>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6" w:space="0" w:color="000000"/>
            </w:tcBorders>
            <w:shd w:fill="FFFFFF" w:val="clear"/>
            <w:tcMar>
              <w:bottom w:w="28" w:type="dxa"/>
            </w:tcMar>
            <w:vAlign w:val="center"/>
          </w:tcPr>
          <w:p>
            <w:pPr>
              <w:pStyle w:val="TableContents"/>
              <w:bidi w:val="0"/>
              <w:spacing w:before="0" w:after="283"/>
              <w:jc w:val="right"/>
              <w:rPr/>
            </w:pPr>
            <w:r>
              <w:rPr/>
              <w:t>5,225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8"/>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granted options exercisable into 11,850,000 shares of its Common Stock to its employees and advisors. The stock options vest over a weighted average 3.80 year period and are exercisable at a weighted average price of $0.75 per share with an average life expiration of 6.48 years. The total fair value of these options at the grant date was approximately $12,942, which was determined using a Black-Scholes option pricing model with the following average assumptions: stock price of $1.10 per share, expected term of 6.5 years, volatility of 150%, dividend rate of 0%, and weighted average risk-free interest rate of 4.26%.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issued 10,415 shares of Common Stock pursuant to a stock option exercise for proceeds of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$13,998 of total unrecognized compensation cost related to unvested stock options. The Company expects to recognize the unrecognized compensation amount over a remaining weighted-average period of 3.80 years. The fair value of stock options that vested during the six months ended June 30, 2026 and 2025 was $444 and $74,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$1.27 per share on June 30, 2026, the intrinsic value attributed to exercisable and unexercised Common Stock options was $2,637 at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related to stock options and restricted common stock in the condensed consolidated statements of operations and comprehensive income (loss):</w:t>
      </w:r>
    </w:p>
    <w:tbl>
      <w:tblPr>
        <w:tblW w:w="9879" w:type="dxa"/>
        <w:jc w:val="left"/>
        <w:tblInd w:w="0" w:type="dxa"/>
        <w:tblLayout w:type="fixed"/>
        <w:tblCellMar>
          <w:top w:w="0" w:type="dxa"/>
          <w:left w:w="0" w:type="dxa"/>
          <w:bottom w:w="0" w:type="dxa"/>
          <w:right w:w="0" w:type="dxa"/>
        </w:tblCellMar>
      </w:tblPr>
      <w:tblGrid>
        <w:gridCol w:w="3680"/>
        <w:gridCol w:w="60"/>
        <w:gridCol w:w="420"/>
        <w:gridCol w:w="1141"/>
        <w:gridCol w:w="180"/>
        <w:gridCol w:w="180"/>
        <w:gridCol w:w="420"/>
        <w:gridCol w:w="781"/>
        <w:gridCol w:w="60"/>
        <w:gridCol w:w="60"/>
        <w:gridCol w:w="380"/>
        <w:gridCol w:w="1032"/>
        <w:gridCol w:w="162"/>
        <w:gridCol w:w="162"/>
        <w:gridCol w:w="380"/>
        <w:gridCol w:w="706"/>
        <w:gridCol w:w="75"/>
      </w:tblGrid>
      <w:tr>
        <w:trPr/>
        <w:tc>
          <w:tcPr>
            <w:tcW w:w="3680" w:type="dxa"/>
            <w:tcBorders/>
            <w:vAlign w:val="center"/>
          </w:tcPr>
          <w:p>
            <w:pPr>
              <w:pStyle w:val="TableContents"/>
              <w:bidi w:val="0"/>
              <w:spacing w:before="0" w:after="283"/>
              <w:jc w:val="left"/>
              <w:rPr/>
            </w:pPr>
            <w:r>
              <w:rPr/>
              <w:t>Schedule of stock based compensation</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58</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144</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30</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38</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118</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pPr>
            <w:r>
              <w:rPr/>
              <w:t>262</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b/>
              </w:rPr>
            </w:pPr>
            <w:r>
              <w:rPr>
                <w:b/>
              </w:rPr>
              <w:t>Stock-based compensation</w:t>
            </w:r>
          </w:p>
        </w:tc>
        <w:tc>
          <w:tcPr>
            <w:tcW w:w="60"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pPr>
            <w:r>
              <w:rPr/>
              <w:t>206</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pPr>
            <w:r>
              <w:rPr/>
              <w:t>444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relies on consolidated net loss as a comprehensive measure of the Company, considering all revenues and expenses, including cost of revenue, employee compensation, stock-based compensation, legal and professional fees, and consulting costs. Other operating expenses include all remaining costs necessary to operate our business and primarily include advertising, corporate compliance, and overhead expenses.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June 30, 2026, the Company does not have material long-term assets outside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significant segment expenses and other segment items regularly reviewed by our CODM:</w:t>
      </w:r>
    </w:p>
    <w:tbl>
      <w:tblPr>
        <w:tblW w:w="7423" w:type="dxa"/>
        <w:jc w:val="left"/>
        <w:tblInd w:w="0" w:type="dxa"/>
        <w:tblLayout w:type="fixed"/>
        <w:tblCellMar>
          <w:top w:w="0" w:type="dxa"/>
          <w:left w:w="0" w:type="dxa"/>
          <w:bottom w:w="0" w:type="dxa"/>
          <w:right w:w="0" w:type="dxa"/>
        </w:tblCellMar>
      </w:tblPr>
      <w:tblGrid>
        <w:gridCol w:w="3560"/>
        <w:gridCol w:w="60"/>
        <w:gridCol w:w="168"/>
        <w:gridCol w:w="764"/>
        <w:gridCol w:w="114"/>
        <w:gridCol w:w="72"/>
        <w:gridCol w:w="168"/>
        <w:gridCol w:w="547"/>
        <w:gridCol w:w="95"/>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Schedule of segment information</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both"/>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Employee compensation and benefits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516</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47"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207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Legal and professional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378</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Consulting costs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173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353</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895</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(1,627</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(1,264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common share attributable to stockholders: </w:t>
      </w:r>
    </w:p>
    <w:tbl>
      <w:tblPr>
        <w:tblW w:w="10205" w:type="dxa"/>
        <w:jc w:val="left"/>
        <w:tblInd w:w="0" w:type="dxa"/>
        <w:tblLayout w:type="fixed"/>
        <w:tblCellMar>
          <w:top w:w="0" w:type="dxa"/>
          <w:left w:w="0" w:type="dxa"/>
          <w:bottom w:w="0" w:type="dxa"/>
          <w:right w:w="0" w:type="dxa"/>
        </w:tblCellMar>
      </w:tblPr>
      <w:tblGrid>
        <w:gridCol w:w="4230"/>
        <w:gridCol w:w="60"/>
        <w:gridCol w:w="148"/>
        <w:gridCol w:w="1298"/>
        <w:gridCol w:w="100"/>
        <w:gridCol w:w="63"/>
        <w:gridCol w:w="148"/>
        <w:gridCol w:w="1171"/>
        <w:gridCol w:w="60"/>
        <w:gridCol w:w="60"/>
        <w:gridCol w:w="141"/>
        <w:gridCol w:w="1234"/>
        <w:gridCol w:w="95"/>
        <w:gridCol w:w="60"/>
        <w:gridCol w:w="141"/>
        <w:gridCol w:w="1113"/>
        <w:gridCol w:w="83"/>
      </w:tblGrid>
      <w:tr>
        <w:trPr/>
        <w:tc>
          <w:tcPr>
            <w:tcW w:w="4230" w:type="dxa"/>
            <w:tcBorders/>
            <w:shd w:fill="FFFFFF" w:val="clear"/>
            <w:vAlign w:val="center"/>
          </w:tcPr>
          <w:p>
            <w:pPr>
              <w:pStyle w:val="TableContents"/>
              <w:bidi w:val="0"/>
              <w:spacing w:before="0" w:after="283"/>
              <w:ind w:left="0" w:right="0" w:hanging="200"/>
              <w:jc w:val="left"/>
              <w:rPr/>
            </w:pPr>
            <w:r>
              <w:rPr/>
              <w:t>Schedule of computation of 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center"/>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Net income (loss)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(1,835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1,930</w:t>
            </w:r>
          </w:p>
        </w:tc>
        <w:tc>
          <w:tcPr>
            <w:tcW w:w="83" w:type="dxa"/>
            <w:tcBorders/>
            <w:shd w:fill="FFFFFF" w:val="clear"/>
            <w:vAlign w:val="center"/>
          </w:tcPr>
          <w:p>
            <w:pPr>
              <w:pStyle w:val="TableContents"/>
              <w:bidi w:val="0"/>
              <w:spacing w:before="0" w:after="283"/>
              <w:ind w:left="0" w:right="0" w:hanging="200"/>
              <w:jc w:val="left"/>
              <w:rPr/>
            </w:pPr>
            <w:r>
              <w:rPr/>
              <w:t> </w:t>
            </w:r>
          </w:p>
        </w:tc>
      </w:tr>
      <w:tr>
        <w:trPr/>
        <w:tc>
          <w:tcPr>
            <w:tcW w:w="4230" w:type="dxa"/>
            <w:tcBorders/>
            <w:shd w:fill="CCEEFF" w:val="clear"/>
            <w:vAlign w:val="center"/>
          </w:tcPr>
          <w:p>
            <w:pPr>
              <w:pStyle w:val="TableContents"/>
              <w:bidi w:val="0"/>
              <w:spacing w:before="0" w:after="283"/>
              <w:jc w:val="left"/>
              <w:rPr/>
            </w:pPr>
            <w:r>
              <w:rPr/>
              <w:t>Series D preferred stock dividend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(227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200"/>
              <w:jc w:val="left"/>
              <w:rPr/>
            </w:pPr>
            <w:r>
              <w:rPr/>
              <w:t> </w:t>
            </w:r>
          </w:p>
        </w:tc>
      </w:tr>
      <w:tr>
        <w:trPr/>
        <w:tc>
          <w:tcPr>
            <w:tcW w:w="4230" w:type="dxa"/>
            <w:tcBorders/>
            <w:shd w:fill="CCEEFF" w:val="clear"/>
            <w:vAlign w:val="center"/>
          </w:tcPr>
          <w:p>
            <w:pPr>
              <w:pStyle w:val="TableContents"/>
              <w:bidi w:val="0"/>
              <w:spacing w:before="0" w:after="283"/>
              <w:jc w:val="left"/>
              <w:rPr/>
            </w:pPr>
            <w:r>
              <w:rPr/>
              <w:t>After-tax interest expense on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(2,062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2,714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(3,372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jc w:val="right"/>
              <w:rPr/>
            </w:pPr>
            <w:r>
              <w:rPr/>
              <w:t>1,944</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Weighted-average common shares outstanding, 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51,776,206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47,154,964</w:t>
            </w:r>
          </w:p>
        </w:tc>
        <w:tc>
          <w:tcPr>
            <w:tcW w:w="83" w:type="dxa"/>
            <w:tcBorders/>
            <w:shd w:fill="FFFFFF" w:val="clear"/>
            <w:vAlign w:val="center"/>
          </w:tcPr>
          <w:p>
            <w:pPr>
              <w:pStyle w:val="TableContents"/>
              <w:bidi w:val="0"/>
              <w:spacing w:before="0" w:after="283"/>
              <w:ind w:left="0" w:right="0" w:hanging="200"/>
              <w:jc w:val="left"/>
              <w:rPr/>
            </w:pPr>
            <w:r>
              <w:rPr/>
              <w:t> </w:t>
            </w:r>
          </w:p>
        </w:tc>
      </w:tr>
      <w:tr>
        <w:trPr/>
        <w:tc>
          <w:tcPr>
            <w:tcW w:w="4230" w:type="dxa"/>
            <w:tcBorders/>
            <w:shd w:fill="CCEEFF" w:val="clear"/>
            <w:vAlign w:val="center"/>
          </w:tcPr>
          <w:p>
            <w:pPr>
              <w:pStyle w:val="TableContents"/>
              <w:bidi w:val="0"/>
              <w:spacing w:before="0" w:after="283"/>
              <w:jc w:val="left"/>
              <w:rPr/>
            </w:pPr>
            <w:r>
              <w:rPr/>
              <w:t>Effect of potentially dilutive securities: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7,250,000</w:t>
            </w:r>
          </w:p>
        </w:tc>
        <w:tc>
          <w:tcPr>
            <w:tcW w:w="83" w:type="dxa"/>
            <w:tcBorders/>
            <w:shd w:fill="FFFFFF" w:val="clear"/>
            <w:vAlign w:val="center"/>
          </w:tcPr>
          <w:p>
            <w:pPr>
              <w:pStyle w:val="TableContents"/>
              <w:bidi w:val="0"/>
              <w:spacing w:before="0" w:after="283"/>
              <w:ind w:left="0" w:right="0" w:hanging="200"/>
              <w:jc w:val="left"/>
              <w:rPr/>
            </w:pPr>
            <w:r>
              <w:rPr/>
              <w:t> </w:t>
            </w:r>
          </w:p>
        </w:tc>
      </w:tr>
      <w:tr>
        <w:trPr/>
        <w:tc>
          <w:tcPr>
            <w:tcW w:w="4230"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pPr>
            <w:r>
              <w:rPr/>
              <w:t>3,513,362</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66,276,206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FFFFFF" w:val="clear"/>
            <w:tcMar>
              <w:bottom w:w="28" w:type="dxa"/>
            </w:tcMar>
            <w:vAlign w:val="center"/>
          </w:tcPr>
          <w:p>
            <w:pPr>
              <w:pStyle w:val="TableContents"/>
              <w:bidi w:val="0"/>
              <w:spacing w:before="0" w:after="283"/>
              <w:jc w:val="right"/>
              <w:rPr/>
            </w:pPr>
            <w:r>
              <w:rPr/>
              <w:t>57,918,326</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p>
        </w:tc>
      </w:tr>
      <w:tr>
        <w:trPr/>
        <w:tc>
          <w:tcPr>
            <w:tcW w:w="4230" w:type="dxa"/>
            <w:tcBorders/>
            <w:shd w:fill="FFFFFF" w:val="clear"/>
            <w:vAlign w:val="center"/>
          </w:tcPr>
          <w:p>
            <w:pPr>
              <w:pStyle w:val="TableContents"/>
              <w:bidi w:val="0"/>
              <w:spacing w:before="0" w:after="283"/>
              <w:jc w:val="left"/>
              <w:rPr/>
            </w:pPr>
            <w:r>
              <w:rPr/>
              <w:t>Net income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(0.01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0.04</w:t>
            </w:r>
          </w:p>
        </w:tc>
        <w:tc>
          <w:tcPr>
            <w:tcW w:w="83" w:type="dxa"/>
            <w:tcBorders/>
            <w:shd w:fill="CCEEFF" w:val="clear"/>
            <w:vAlign w:val="center"/>
          </w:tcPr>
          <w:p>
            <w:pPr>
              <w:pStyle w:val="TableContents"/>
              <w:bidi w:val="0"/>
              <w:spacing w:before="0" w:after="283"/>
              <w:jc w:val="left"/>
              <w:rPr/>
            </w:pPr>
            <w:r>
              <w:rPr/>
              <w:t> </w:t>
            </w:r>
          </w:p>
        </w:tc>
      </w:tr>
      <w:tr>
        <w:trPr/>
        <w:tc>
          <w:tcPr>
            <w:tcW w:w="423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(0.01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0.03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excluded the following potential common shares, presented based on amounts outstanding at each period end, from the computation of diluted net loss per share for the periods indicated, since their inclusion would be anti-dilutive: </w:t>
      </w:r>
    </w:p>
    <w:tbl>
      <w:tblPr>
        <w:tblW w:w="10205" w:type="dxa"/>
        <w:jc w:val="left"/>
        <w:tblInd w:w="0" w:type="dxa"/>
        <w:tblLayout w:type="fixed"/>
        <w:tblCellMar>
          <w:top w:w="0" w:type="dxa"/>
          <w:left w:w="0" w:type="dxa"/>
          <w:bottom w:w="0" w:type="dxa"/>
          <w:right w:w="0" w:type="dxa"/>
        </w:tblCellMar>
      </w:tblPr>
      <w:tblGrid>
        <w:gridCol w:w="4115"/>
        <w:gridCol w:w="60"/>
        <w:gridCol w:w="67"/>
        <w:gridCol w:w="1390"/>
        <w:gridCol w:w="67"/>
        <w:gridCol w:w="67"/>
        <w:gridCol w:w="67"/>
        <w:gridCol w:w="1390"/>
        <w:gridCol w:w="60"/>
        <w:gridCol w:w="60"/>
        <w:gridCol w:w="65"/>
        <w:gridCol w:w="1326"/>
        <w:gridCol w:w="65"/>
        <w:gridCol w:w="65"/>
        <w:gridCol w:w="65"/>
        <w:gridCol w:w="1195"/>
        <w:gridCol w:w="81"/>
      </w:tblGrid>
      <w:tr>
        <w:trPr/>
        <w:tc>
          <w:tcPr>
            <w:tcW w:w="4115" w:type="dxa"/>
            <w:tcBorders/>
            <w:vAlign w:val="center"/>
          </w:tcPr>
          <w:p>
            <w:pPr>
              <w:pStyle w:val="TableContents"/>
              <w:bidi w:val="0"/>
              <w:spacing w:before="0" w:after="283"/>
              <w:jc w:val="left"/>
              <w:rPr/>
            </w:pPr>
            <w:r>
              <w:rPr/>
              <w:t>Schedule of anti-dilutive shares</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1"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Series C Preferred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11,983,000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11,983,000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Series D Preferred Shares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34,677,751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34,677,751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Senior Secured Notes, including accrued interest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168,184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140,612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168,184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140,612</w:t>
            </w:r>
          </w:p>
        </w:tc>
        <w:tc>
          <w:tcPr>
            <w:tcW w:w="81"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Convertible Notes, excluding accrued interest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75,000,000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75,000,000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85,063,587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62,549,982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85,063,587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62,549,982</w:t>
            </w:r>
          </w:p>
        </w:tc>
        <w:tc>
          <w:tcPr>
            <w:tcW w:w="81"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Stock options to purchase common stock</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50,843,036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1,103,451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50,843,036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1,103,451</w:t>
            </w:r>
          </w:p>
        </w:tc>
        <w:tc>
          <w:tcPr>
            <w:tcW w:w="81"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Unvested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1,129,630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1,129,630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1,129,630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1,129,630</w:t>
            </w:r>
          </w:p>
        </w:tc>
        <w:tc>
          <w:tcPr>
            <w:tcW w:w="81"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Restricted stock</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65,000,000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81"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b/>
              </w:rPr>
            </w:pPr>
            <w:r>
              <w:rPr>
                <w:b/>
              </w:rPr>
              <w:t>Anti-dilutive shares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pPr>
            <w:r>
              <w:rPr/>
              <w:t>258,890,188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pPr>
            <w:r>
              <w:rPr/>
              <w:t>129,948,675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pPr>
            <w:r>
              <w:rPr/>
              <w:t>258,890,188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pPr>
            <w:r>
              <w:rPr/>
              <w:t>64,948,675</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June 30, 2026 and through August 14, 2026, which represents the date these unaudited condensed consolidated financial statements were available to be issued.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granted options exercisable into 200,000 shares of its Common Stock to its employees and advisors. The stock options vest monthly over a two-year period and are exercisable at a weighted average price of $0.91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q2_008"/>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uncertainties and assumptions. You should read the “Forward-Looking Statements” and “Risk Factors” sections of this Quarterly Report on Form 10-Q, which describe factors or events that could cause our actual results to differ materially from the results described in or implied by the forward-looking statements contained in the following discussion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including statements regarding our expectations for prospective future growth, cash flows, ability to service outstanding debt obligations, operating results, potential future trends and developments within our industry and the U.S. and global economies generally, plans and expectations for the Company, our future business plan and capital raising efforts, expectations and plans with respect to our products and services including the potential market for, timing, features, and demand for such products and services, and liquidity. Forward-looking statements are prefaced by words such as “anticipate,” “expect,” “plan,” “could,” “may,” “will,” “should,” “would,” “intend,” “seem,” “potential,” “appear,” “continue,” “future,” believe,” “estimate,” “forecast,” “project,” and similar words and expressions. We have based these forward-looking statements largely on our current expectations and assumptions regarding our business, the economy and other future conditions. Because forward-looking statements are based on current expectations and projections about future events and financial trends, they are subject to inherent uncertainties, risks and changes in circumstances that are difficult to predict. We caution you, therefore, against relying on any of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anticipated by any or all of these forward-looking statements might not occur. Our actual results may differ materially from those contemplated by the forward-looking statements for a variety of reasons, including, without limitation, the possibility that estimates, projections and assumptions on which the forward-looking statements are based prove to be incorrect, our ability to raise the necessary capital to re-establish material operations and generate revenue and the terms and timing of any related transactions, central bank interest rates and future interest rate changes, the risks arising from the impact of inflation, tariffs and tariff litigation, the impact of the war with Iran, the deterioration of the labor market of the United States, a recession which may result on the Company’s business, prospective customers, and on the national and global economy, our ability to attract customers to our products and services, the potential for regulatory changes impacting quantum computing, artificial intelligence, data privacy and other areas that impact the Company’s business, and the ability of us and third parties on which we depend to comply with applicable regulatory requirements, the risk that software and technology infrastructure on which we depend fail to perform as designed or intended, and the risks and uncertainties disclosed in our Form 10-K for the year ended December 31 2025 filed with the SEC. Any forward-looking statement made by us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w:t>
      </w:r>
      <w:r>
        <w:rPr>
          <w:rFonts w:ascii="Times New Roman;Times;Serif" w:hAnsi="Times New Roman;Times;Serif"/>
          <w:b w:val="false"/>
          <w:i w:val="false"/>
          <w:caps w:val="false"/>
          <w:smallCaps w:val="false"/>
          <w:sz w:val="20"/>
        </w:rPr>
        <w:t>e intend to use the net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part of the Offering, we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“Liquidity and Capital Resources” below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and six months ended June 30, 2026 and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7"/>
        <w:gridCol w:w="60"/>
        <w:gridCol w:w="232"/>
        <w:gridCol w:w="1053"/>
        <w:gridCol w:w="157"/>
        <w:gridCol w:w="99"/>
        <w:gridCol w:w="232"/>
        <w:gridCol w:w="928"/>
        <w:gridCol w:w="95"/>
        <w:gridCol w:w="60"/>
        <w:gridCol w:w="147"/>
        <w:gridCol w:w="668"/>
        <w:gridCol w:w="95"/>
        <w:gridCol w:w="60"/>
        <w:gridCol w:w="60"/>
        <w:gridCol w:w="649"/>
        <w:gridCol w:w="113"/>
      </w:tblGrid>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3" w:type="dxa"/>
            <w:tcBorders/>
            <w:vAlign w:val="center"/>
          </w:tcPr>
          <w:p>
            <w:pPr>
              <w:pStyle w:val="TableContents"/>
              <w:bidi w:val="0"/>
              <w:spacing w:before="0" w:after="283"/>
              <w:jc w:val="left"/>
              <w:rPr/>
            </w:pPr>
            <w:r>
              <w:rPr/>
              <w:t> </w:t>
            </w:r>
          </w:p>
        </w:tc>
      </w:tr>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9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r>
              <w:rPr/>
              <w:t>%</w:t>
            </w:r>
          </w:p>
        </w:tc>
        <w:tc>
          <w:tcPr>
            <w:tcW w:w="113" w:type="dxa"/>
            <w:tcBorders/>
            <w:shd w:fill="CCEEFF" w:val="clear"/>
            <w:vAlign w:val="center"/>
          </w:tcPr>
          <w:p>
            <w:pPr>
              <w:pStyle w:val="TableContents"/>
              <w:bidi w:val="0"/>
              <w:spacing w:before="0" w:after="283"/>
              <w:jc w:val="left"/>
              <w:rPr/>
            </w:pPr>
            <w:r>
              <w:rPr/>
              <w:t> </w:t>
            </w:r>
          </w:p>
        </w:tc>
      </w:tr>
      <w:tr>
        <w:trPr/>
        <w:tc>
          <w:tcPr>
            <w:tcW w:w="5497"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5497"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285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N/M</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383</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N/M</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1,627</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179</w:t>
            </w:r>
          </w:p>
        </w:tc>
        <w:tc>
          <w:tcPr>
            <w:tcW w:w="113" w:type="dxa"/>
            <w:tcBorders/>
            <w:shd w:fill="FFFFFF" w:val="clear"/>
            <w:vAlign w:val="center"/>
          </w:tcPr>
          <w:p>
            <w:pPr>
              <w:pStyle w:val="TableContents"/>
              <w:bidi w:val="0"/>
              <w:spacing w:before="0" w:after="283"/>
              <w:jc w:val="left"/>
              <w:rPr/>
            </w:pPr>
            <w:r>
              <w:rPr/>
              <w:t> </w:t>
            </w:r>
          </w:p>
        </w:tc>
      </w:tr>
      <w:tr>
        <w:trPr/>
        <w:tc>
          <w:tcPr>
            <w:tcW w:w="5497"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97"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(229</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62</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(100</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97"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(100</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97"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(100</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97"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320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(208</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13" w:type="dxa"/>
            <w:tcBorders/>
            <w:shd w:fill="FFFFFF" w:val="clear"/>
            <w:vAlign w:val="center"/>
          </w:tcPr>
          <w:p>
            <w:pPr>
              <w:pStyle w:val="TableContents"/>
              <w:bidi w:val="0"/>
              <w:spacing w:before="0" w:after="283"/>
              <w:jc w:val="left"/>
              <w:rPr/>
            </w:pPr>
            <w:r>
              <w:rPr/>
              <w:t>)</w:t>
            </w:r>
          </w:p>
        </w:tc>
      </w:tr>
      <w:tr>
        <w:trPr/>
        <w:tc>
          <w:tcPr>
            <w:tcW w:w="549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(1,835</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(4,535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(168)%</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$285 thousand for the three months ended June 30, 2026, as compared to $0 for the three months ended June 30, 2025. The increase reflects higher employee compensation costs, marketing expenses, and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$383 thousand for the three months ended June 30, 2026, as compared to $0 for the three months ended June 30, 2025. The increase reflects higher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$959 thousand for the three months ended June 30, 2026, compared to $584 thousand for the three months ended June 30, 2025. The increase of $375 thousand reflects an increase in stock-based compensation expenses and employee compensation. Current-quarter expenses mainly consisted of insurance, software costs, salaries and benefits, and legal and professional fees, including $142 thousand of legal expenses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Expense, Net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expense, net was $208 thousand for the three months ended June 30, 2026, compared to other income, net of $3.3 million for the three months ended June 30, 2025. The $3.5 million negative variance was primarily driven by the prior year recording of a $2.4 million gain on extinguishment of Forward Purchase Agreement settlement liability and a $1.2 million gain on extinguishment of liabilities. These favorable items were partially offset by a $134 thousand loss on extinguishment of Senior Secured Note, and a $88 thousand increase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4"/>
        <w:gridCol w:w="60"/>
        <w:gridCol w:w="207"/>
        <w:gridCol w:w="946"/>
        <w:gridCol w:w="141"/>
        <w:gridCol w:w="89"/>
        <w:gridCol w:w="207"/>
        <w:gridCol w:w="946"/>
        <w:gridCol w:w="95"/>
        <w:gridCol w:w="60"/>
        <w:gridCol w:w="147"/>
        <w:gridCol w:w="668"/>
        <w:gridCol w:w="95"/>
        <w:gridCol w:w="60"/>
        <w:gridCol w:w="60"/>
        <w:gridCol w:w="656"/>
        <w:gridCol w:w="114"/>
      </w:tblGrid>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4" w:type="dxa"/>
            <w:tcBorders/>
            <w:vAlign w:val="center"/>
          </w:tcPr>
          <w:p>
            <w:pPr>
              <w:pStyle w:val="TableContents"/>
              <w:bidi w:val="0"/>
              <w:spacing w:before="0" w:after="283"/>
              <w:jc w:val="left"/>
              <w:rPr/>
            </w:pPr>
            <w:r>
              <w:rPr/>
              <w:t> </w:t>
            </w:r>
          </w:p>
        </w:tc>
      </w:tr>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65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r>
              <w:rPr/>
              <w:t>%</w:t>
            </w:r>
          </w:p>
        </w:tc>
        <w:tc>
          <w:tcPr>
            <w:tcW w:w="114" w:type="dxa"/>
            <w:tcBorders/>
            <w:shd w:fill="CCEEFF" w:val="clear"/>
            <w:vAlign w:val="center"/>
          </w:tcPr>
          <w:p>
            <w:pPr>
              <w:pStyle w:val="TableContents"/>
              <w:bidi w:val="0"/>
              <w:spacing w:before="0" w:after="283"/>
              <w:jc w:val="left"/>
              <w:rPr/>
            </w:pPr>
            <w:r>
              <w:rPr/>
              <w:t> </w:t>
            </w:r>
          </w:p>
        </w:tc>
      </w:tr>
      <w:tr>
        <w:trPr/>
        <w:tc>
          <w:tcPr>
            <w:tcW w:w="5654"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65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458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sz w:val="20"/>
              </w:rPr>
            </w:pPr>
            <w:r>
              <w:rPr>
                <w:sz w:val="20"/>
              </w:rPr>
              <w:t>N/M</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618</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sz w:val="20"/>
              </w:rPr>
            </w:pPr>
            <w:r>
              <w:rPr>
                <w:sz w:val="20"/>
              </w:rPr>
              <w:t>N/M</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1,748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2,824</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123</w:t>
            </w:r>
          </w:p>
        </w:tc>
        <w:tc>
          <w:tcPr>
            <w:tcW w:w="114" w:type="dxa"/>
            <w:tcBorders/>
            <w:shd w:fill="FFFFFF" w:val="clear"/>
            <w:vAlign w:val="center"/>
          </w:tcPr>
          <w:p>
            <w:pPr>
              <w:pStyle w:val="TableContents"/>
              <w:bidi w:val="0"/>
              <w:spacing w:before="0" w:after="283"/>
              <w:jc w:val="left"/>
              <w:rPr/>
            </w:pPr>
            <w:r>
              <w:rPr/>
              <w:t> </w:t>
            </w:r>
          </w:p>
        </w:tc>
      </w:tr>
      <w:tr>
        <w:trPr/>
        <w:tc>
          <w:tcPr>
            <w:tcW w:w="5654"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114" w:type="dxa"/>
            <w:tcBorders/>
            <w:shd w:fill="CCEEFF" w:val="clear"/>
            <w:vAlign w:val="center"/>
          </w:tcPr>
          <w:p>
            <w:pPr>
              <w:pStyle w:val="TableContents"/>
              <w:bidi w:val="0"/>
              <w:spacing w:before="0" w:after="283"/>
              <w:jc w:val="left"/>
              <w:rPr/>
            </w:pPr>
            <w:r>
              <w:rPr/>
              <w:t>)</w:t>
            </w:r>
          </w:p>
        </w:tc>
      </w:tr>
      <w:tr>
        <w:trPr/>
        <w:tc>
          <w:tcPr>
            <w:tcW w:w="5654"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(361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49</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654"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654"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65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3,194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4" w:type="dxa"/>
            <w:tcBorders/>
            <w:shd w:fill="FFFFFF" w:val="clear"/>
            <w:vAlign w:val="center"/>
          </w:tcPr>
          <w:p>
            <w:pPr>
              <w:pStyle w:val="TableContents"/>
              <w:bidi w:val="0"/>
              <w:spacing w:before="0" w:after="283"/>
              <w:jc w:val="left"/>
              <w:rPr/>
            </w:pPr>
            <w:r>
              <w:rPr/>
              <w:t>)</w:t>
            </w:r>
          </w:p>
        </w:tc>
      </w:tr>
      <w:tr>
        <w:trPr/>
        <w:tc>
          <w:tcPr>
            <w:tcW w:w="565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(3,145</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(5,075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(263)%</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$458 thousand for the six months ended June 30, 2026, as compared to $0 for the six months ended June 30, 2025. The increase reflects an increase in employee compensation costs, marketing expenses, and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$618 thousand for the six months ended June 30, 2026, as compared to $0 for the six months ended June 30, 2025. The increase reflects an increase in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$1.8 million for the six months ended June 30, 2026, compared to $1.3 million for the six months ended June 30, 2025. The increase of $484 thousand reflects an increase in stock-based compensation expenses and employee compensation. Current-quarter expenses mainly consisted of insurance, software costs, salaries and benefits, and legal and professional fees, including $268 thousand of legal expenses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expense, net was $321 thousand for the six months ended June 30, 2026, compared to other income, net of $3.2 million for the six months ended June 30, 2025. The $3.5 million negative variance was primarily driven by the prior year recording of a $2.4 million gain on extinguishment of Forward Purchase Agreement settlement liability and a $1.2 million gain on extinguishment of liabilities. These favorable items were partially offset by a $134 thousand loss on extinguishment of Senior Secured Note, and a $118 thousand increase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six months ended June 30, 2026, we recorded a net loss of $3,145, used cash in operations of $2,688 and had a stockholders’ equity of $3,062 as of that date. As of June 30, 2026, we had a cash balance of $12,771. Cash used in operations was primarily from the Company’s operating losses, working capital, and investment in strategic growth initiatives. We have incurred significant losses and negative cash flows from operations since inception and expect to continue to incur losses and negative cash flows for the foreseeable future as we expand our penetration of the quantum computing application development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August 4, 2026, we have cash and cash equivalents of $12.1 million. We expect our existing cash will be sufficient to fund our current operating plan for at least twelve months from the date of issuance of these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 million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 As of June 30, 2026, the aggregate principal and accrued interest outstanding under the Senior Secured Notes totaled $1.4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securities purchase agreement with accredited investors pursuant to which we sold and issued secured Convertible Promissory Notes and warrants to purchase 37,500,000 shares of Common Stock (“Warrants”) for total gross proceeds of $3 million. The Convertible Promissory Notes bear simple interest at a rate of 10.00% per annum and, as extended, mature in June 2027, unless earlier converted or repaid in accordance with its terms. Interest accrues daily based on a 360-day year and will not be paid in cash prior to maturity unless the Convertible Promissory Notes are repaid before conversion. As of June 30, 2026, the aggregate principal and accrued interest outstanding under the Convertible Promissory Notes totaled $3.1 million, net of the unamortized debt discount of $211 recognized in connection with the amendment and the remaining unamortized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 2026, the Company and the holders amended the Convertible Promissory Notes to extend the maturity date to June 2027 and replace the provision requiring automatic conversion upon the closing of a qualified financing. Under the amended terms, if (i) the volume-weighted average price of the Company’s common stock on the immediately preceding trading day equals or exceeds $0.60 per share and (ii) the average daily traded value of the Company’s common stock for the five immediately preceding trading days equals or exceeds $1.0 million, the Company may elect to convert all or any portion of the outstanding principal balance into shares of common stock at a conversion price of $0.04 per share, subject to customary adjustments for stock splits, stock dividends, combinations, recapitalizations and similar events. Any accrued and unpaid interest attributable to principal converted pursuant to the amended conversion provision is automatically forgiven upon conversion. If the Company elects to convert the entire $3.0 million outstanding principal balance, the Convertible Promissory Notes would convert into 75,000,000 shares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periods presented:</w:t>
      </w:r>
    </w:p>
    <w:p>
      <w:pPr>
        <w:pStyle w:val="TextBody"/>
        <w:bidi w:val="0"/>
        <w:spacing w:before="0" w:after="0"/>
        <w:ind w:left="0" w:right="0" w:firstLine="554"/>
        <w:jc w:val="left"/>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3890"/>
        <w:gridCol w:w="60"/>
        <w:gridCol w:w="236"/>
        <w:gridCol w:w="1146"/>
        <w:gridCol w:w="160"/>
        <w:gridCol w:w="101"/>
        <w:gridCol w:w="236"/>
        <w:gridCol w:w="944"/>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(2,688</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(464</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13,839</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1,482</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pPr>
            <w:r>
              <w:rPr/>
              <w:t>11,112</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pPr>
            <w:r>
              <w:rPr/>
              <w:t>997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$2.7 million for the six months ended June 30, 2026. Operating cash flows reflected a net loss of $3.1 million, partially offset by $805 thousand in non-cash charges. Changes in working capital were primarily driven by a $214 thousand decrease in accounts payable, a $174 thousand decrease in accrued expenses and other current liabilities, partially offset by a $40 thousand increase in prepaid expenses and other current and non-current assets. Non-cash charges included $361 thousand in non-cash interest expense and $444 thousand in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$464 thousand for the six months ended June 30, 2025. Operating cash flows reflected net income of $1.9 million and a $0.8 million net increase in working capital, partially offset by offset by $3.2 million in net non-cash charges. Changes in working capital were primarily driven by a $720 thousand increase in accrued expenses and other current liabilities, and a $73 thousand increase in accounts payable, partially offset by a $37 thousand increase in prepaid expenses and other current and non-current assets. Non-cash charges included $2.4 million gain on extinguishment of Forward Purchase Agreement settlement liability, and $1.2 million gain on extinguishment of liabilities, partially offset by $195 thousand in non-cash interest expense, a $134 thousand loss on extinguishment of Senior Secured Note and $74,000 thousand in stock-based compensation.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$13.9 million for the six months ended June 30, 2026. This amount primarily reflects $13.8 million in net proceeds received from the sale of Series D Convertible Preferred shares, net of expenses, and proceeds of $1 thousand on the exercise of stock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$1.5 million for the six months ended June 30, 2025. This amount primarily reflects $2.8 million in net proceeds received from the issuance of Convertible Promissory Notes, partially offset by the repayment of $1.3 million of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from those disclosed in the “Management’s Discussion and Analysis of Financial Condition and Results of Operations—Critical Accounting Policies and Significant Judgments and Estimates” section of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and results of operations is disclosed in Note 2 to our condensed consolidated financial statements, which are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utilize the exemption for complying with new or revised accounting standards within the same time periods as private companies. Accordingly, the information contained herein may be different than the information you receive from other public companies. We also intend to utilize some of the reduced regulatory and reporting requirements applicable to emerging growth companies pursuant to the JOBS Act so long as the Company qualifies as an emerging growth company, including, but not limited to, not being required to comply with the auditor attestation requirements of Section 404(b) of the Sarbanes-Oxley Act of 2002, reduced disclosure obligations regarding executive compensation and exemptions from the requirements of holding non-binding advisory votes on executive compensation and golden parachute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q2_009"/>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q2_010"/>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Chief Financial Officer, after evaluating the effectiveness of our disclosure controls and procedures (as defined in Exchange Act Rules 13a-15(e) and 15d-15(e)) as of June 30, 2026, have concluded that, based on such evaluation, our disclosure controls and procedures were not effective due to the material weaknesses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June 30, 2026, our disclosure controls and procedures were not effective:</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Company does not have sufficient segregation of duties within accounting functions, as its Chief Executive Officer is the sole officer.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Company does not have sufficient or complete written documentation of our internal controls policies and procedures.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substantial portion of the Company’s financial reporting is carried out by an outside accounting firm.</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Company’s human resources, processes and systems are not sufficient to enable the production of timely and accurate financial statements in accordance with US GAAP.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for Remediation of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taken actions to remediate the deficiencies in its internal controls over financial reporting and implemented additional processes and controls designed to address the underlying causes associated with the above-mentioned material weaknesses. Management is committed to finalizing the remediation of the material weaknesses. Management’s internal control remediation efforts include the following:</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We are currently in the process of identifying and engaging internal control consultants to assist us in performing a risk assessment as well as identifying and designing a system of internal controls necessary to mitigate the risks identified, including preparation of written documentation and testing of our internal control policies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We plan to increase our personnel resources and technical accounting expertise within the accounting function to replace our outside service providers; until we have sufficient technical accounting and financial reporting capabilities, we have retained an accounting consulting firm to provide support and to assist us in our evaluation of more complex applications of U.S. GAAP and assist us with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the ongoing remediation efforts on the material weaknesses, there were no changes in our internal control over financial reporting (as defined in Exchange Act Rules 13a-15(f) and 15d-15(f)) during the quarter ended June 30, 2026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of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internal control system are met. Because of the inherent limitations of any internal control system, no evaluation of controls can provide absolute assurance that all control issues, if any, within a company have been detected.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q2_011"/>
      <w:bookmarkEnd w:id="13"/>
      <w:r>
        <w:rPr>
          <w:rFonts w:ascii="Times New Roman;Times;Serif" w:hAnsi="Times New Roman;Times;Serif"/>
          <w:b/>
          <w:i w:val="false"/>
          <w:caps w:val="false"/>
          <w:smallCaps w:val="false"/>
          <w:sz w:val="20"/>
        </w:rPr>
        <w:t>PART II—OTHER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q2_012"/>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q2_013"/>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 applicable for smaller reporting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q2_014"/>
      <w:bookmarkEnd w:id="16"/>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recent sales of unregistered securities have been previously reported.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q2_015"/>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q2_016"/>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q2_017"/>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arrangement” as defined in Item 408(c)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q2_018"/>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
        <w:gridCol w:w="60"/>
        <w:gridCol w:w="6271"/>
        <w:gridCol w:w="60"/>
        <w:gridCol w:w="1054"/>
        <w:gridCol w:w="60"/>
        <w:gridCol w:w="521"/>
        <w:gridCol w:w="62"/>
        <w:gridCol w:w="677"/>
        <w:gridCol w:w="62"/>
        <w:gridCol w:w="670"/>
      </w:tblGrid>
      <w:tr>
        <w:trPr/>
        <w:tc>
          <w:tcPr>
            <w:tcW w:w="7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92"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r>
      <w:tr>
        <w:trPr/>
        <w:tc>
          <w:tcPr>
            <w:tcW w:w="70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pPr>
            <w:r>
              <w:rPr/>
              <w:t> </w:t>
            </w:r>
          </w:p>
        </w:tc>
        <w:tc>
          <w:tcPr>
            <w:tcW w:w="627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105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vAlign w:val="center"/>
          </w:tcPr>
          <w:p>
            <w:pPr>
              <w:pStyle w:val="TableContents"/>
              <w:bidi w:val="0"/>
              <w:spacing w:before="0" w:after="283"/>
              <w:jc w:val="center"/>
              <w:rPr/>
            </w:pPr>
            <w:r>
              <w:rPr/>
              <w:t> </w:t>
            </w:r>
          </w:p>
        </w:tc>
        <w:tc>
          <w:tcPr>
            <w:tcW w:w="52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Form</w:t>
            </w:r>
          </w:p>
        </w:tc>
        <w:tc>
          <w:tcPr>
            <w:tcW w:w="62" w:type="dxa"/>
            <w:tcBorders/>
            <w:vAlign w:val="center"/>
          </w:tcPr>
          <w:p>
            <w:pPr>
              <w:pStyle w:val="TableContents"/>
              <w:bidi w:val="0"/>
              <w:spacing w:before="0" w:after="283"/>
              <w:jc w:val="center"/>
              <w:rPr/>
            </w:pPr>
            <w:r>
              <w:rPr/>
              <w:t> </w:t>
            </w:r>
          </w:p>
        </w:tc>
        <w:tc>
          <w:tcPr>
            <w:tcW w:w="67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2" w:type="dxa"/>
            <w:tcBorders/>
            <w:vAlign w:val="center"/>
          </w:tcPr>
          <w:p>
            <w:pPr>
              <w:pStyle w:val="TableContents"/>
              <w:bidi w:val="0"/>
              <w:spacing w:before="0" w:after="283"/>
              <w:jc w:val="center"/>
              <w:rPr/>
            </w:pPr>
            <w:r>
              <w:rPr/>
              <w:t> </w:t>
            </w:r>
          </w:p>
        </w:tc>
        <w:tc>
          <w:tcPr>
            <w:tcW w:w="67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08" w:type="dxa"/>
            <w:tcBorders/>
            <w:vAlign w:val="center"/>
          </w:tcPr>
          <w:p>
            <w:pPr>
              <w:pStyle w:val="TableContents"/>
              <w:bidi w:val="0"/>
              <w:spacing w:before="0" w:after="283"/>
              <w:jc w:val="center"/>
              <w:rPr>
                <w:sz w:val="20"/>
              </w:rPr>
            </w:pPr>
            <w:r>
              <w:rPr>
                <w:sz w:val="20"/>
              </w:rPr>
              <w:t>2.1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
              <w:r>
                <w:rPr>
                  <w:rStyle w:val="InternetLink"/>
                  <w:sz w:val="20"/>
                </w:rPr>
                <w:t>Business Combination Agreement, dated as of September 6, 2023, by and among the Company, Tigre Merger Sub, Inc. and Legacy Zapata</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2.1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9/6/23</w:t>
            </w:r>
          </w:p>
        </w:tc>
      </w:tr>
      <w:tr>
        <w:trPr/>
        <w:tc>
          <w:tcPr>
            <w:tcW w:w="708" w:type="dxa"/>
            <w:tcBorders/>
            <w:vAlign w:val="center"/>
          </w:tcPr>
          <w:p>
            <w:pPr>
              <w:pStyle w:val="TableContents"/>
              <w:bidi w:val="0"/>
              <w:spacing w:before="0" w:after="283"/>
              <w:jc w:val="center"/>
              <w:rPr>
                <w:sz w:val="20"/>
              </w:rPr>
            </w:pPr>
            <w:r>
              <w:rPr>
                <w:sz w:val="20"/>
              </w:rPr>
              <w:t>3.1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3">
              <w:r>
                <w:rPr>
                  <w:rStyle w:val="InternetLink"/>
                  <w:sz w:val="20"/>
                </w:rPr>
                <w:t>Certificate of Incorporation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4/3/24</w:t>
            </w:r>
          </w:p>
        </w:tc>
      </w:tr>
      <w:tr>
        <w:trPr/>
        <w:tc>
          <w:tcPr>
            <w:tcW w:w="708" w:type="dxa"/>
            <w:tcBorders/>
            <w:vAlign w:val="center"/>
          </w:tcPr>
          <w:p>
            <w:pPr>
              <w:pStyle w:val="TableContents"/>
              <w:bidi w:val="0"/>
              <w:spacing w:before="0" w:after="283"/>
              <w:jc w:val="center"/>
              <w:rPr>
                <w:sz w:val="20"/>
              </w:rPr>
            </w:pPr>
            <w:r>
              <w:rPr>
                <w:sz w:val="20"/>
              </w:rPr>
              <w:t>3.1(a)</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4">
              <w:r>
                <w:rPr>
                  <w:rStyle w:val="InternetLink"/>
                  <w:sz w:val="20"/>
                </w:rPr>
                <w:t>Certificate of Amendment to Certificate of Incorporation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8/27/25</w:t>
            </w:r>
          </w:p>
        </w:tc>
      </w:tr>
      <w:tr>
        <w:trPr/>
        <w:tc>
          <w:tcPr>
            <w:tcW w:w="708" w:type="dxa"/>
            <w:tcBorders/>
            <w:vAlign w:val="center"/>
          </w:tcPr>
          <w:p>
            <w:pPr>
              <w:pStyle w:val="TableContents"/>
              <w:bidi w:val="0"/>
              <w:spacing w:before="0" w:after="283"/>
              <w:jc w:val="center"/>
              <w:rPr>
                <w:sz w:val="20"/>
              </w:rPr>
            </w:pPr>
            <w:r>
              <w:rPr>
                <w:sz w:val="20"/>
              </w:rPr>
              <w:t>3.2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5">
              <w:r>
                <w:rPr>
                  <w:rStyle w:val="InternetLink"/>
                  <w:sz w:val="20"/>
                </w:rPr>
                <w:t>Certificate of Designations, of Preferences, Rights and Limitation of the Series A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3.3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6">
              <w:r>
                <w:rPr>
                  <w:rStyle w:val="InternetLink"/>
                  <w:sz w:val="20"/>
                </w:rPr>
                <w:t>Certificate of Designations, of Preferences, Rights and Limitation of the Series C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7/24/25</w:t>
            </w:r>
          </w:p>
        </w:tc>
      </w:tr>
      <w:tr>
        <w:trPr/>
        <w:tc>
          <w:tcPr>
            <w:tcW w:w="708" w:type="dxa"/>
            <w:tcBorders/>
            <w:vAlign w:val="center"/>
          </w:tcPr>
          <w:p>
            <w:pPr>
              <w:pStyle w:val="TableContents"/>
              <w:bidi w:val="0"/>
              <w:spacing w:before="0" w:after="283"/>
              <w:jc w:val="center"/>
              <w:rPr>
                <w:sz w:val="20"/>
              </w:rPr>
            </w:pPr>
            <w:r>
              <w:rPr>
                <w:sz w:val="20"/>
              </w:rPr>
              <w:t>3.3(a)</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7">
              <w:r>
                <w:rPr>
                  <w:rStyle w:val="InternetLink"/>
                  <w:sz w:val="20"/>
                </w:rPr>
                <w:t>Certificate of Amendment to the Certificate of Designations, of Preferences, Rights and Limitation of the Series C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11/6/25</w:t>
            </w:r>
          </w:p>
        </w:tc>
      </w:tr>
      <w:tr>
        <w:trPr/>
        <w:tc>
          <w:tcPr>
            <w:tcW w:w="708" w:type="dxa"/>
            <w:tcBorders/>
            <w:vAlign w:val="center"/>
          </w:tcPr>
          <w:p>
            <w:pPr>
              <w:pStyle w:val="TableContents"/>
              <w:bidi w:val="0"/>
              <w:spacing w:before="0" w:after="283"/>
              <w:jc w:val="center"/>
              <w:rPr>
                <w:sz w:val="20"/>
              </w:rPr>
            </w:pPr>
            <w:r>
              <w:rPr>
                <w:sz w:val="20"/>
              </w:rPr>
              <w:t>3.4</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8">
              <w:r>
                <w:rPr>
                  <w:rStyle w:val="InternetLink"/>
                  <w:sz w:val="20"/>
                </w:rPr>
                <w:t>Series D Certificate of Designation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3.5</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9">
              <w:r>
                <w:rPr>
                  <w:rStyle w:val="InternetLink"/>
                  <w:sz w:val="20"/>
                </w:rPr>
                <w:t>Bylaws of Zapata Computing Holdings Inc.</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4/3/24</w:t>
            </w:r>
          </w:p>
        </w:tc>
      </w:tr>
      <w:tr>
        <w:trPr/>
        <w:tc>
          <w:tcPr>
            <w:tcW w:w="708" w:type="dxa"/>
            <w:tcBorders/>
            <w:vAlign w:val="center"/>
          </w:tcPr>
          <w:p>
            <w:pPr>
              <w:pStyle w:val="TableContents"/>
              <w:bidi w:val="0"/>
              <w:spacing w:before="0" w:after="283"/>
              <w:jc w:val="center"/>
              <w:rPr>
                <w:sz w:val="20"/>
              </w:rPr>
            </w:pPr>
            <w:r>
              <w:rPr>
                <w:sz w:val="20"/>
              </w:rPr>
              <w:t>4.1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0">
              <w:r>
                <w:rPr>
                  <w:rStyle w:val="InternetLink"/>
                  <w:sz w:val="20"/>
                </w:rPr>
                <w:t>Form of Note</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4.2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1">
              <w:r>
                <w:rPr>
                  <w:rStyle w:val="InternetLink"/>
                  <w:sz w:val="20"/>
                </w:rPr>
                <w:t>Form of Warrant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4.3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2">
              <w:r>
                <w:rPr>
                  <w:rStyle w:val="InternetLink"/>
                  <w:sz w:val="20"/>
                </w:rPr>
                <w:t>Form of Warrant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3">
              <w:r>
                <w:rPr>
                  <w:rStyle w:val="InternetLink"/>
                  <w:sz w:val="20"/>
                </w:rPr>
                <w:t>Form of Conversion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4">
              <w:r>
                <w:rPr>
                  <w:rStyle w:val="InternetLink"/>
                  <w:sz w:val="20"/>
                </w:rPr>
                <w:t>Form of Securities Purchase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5">
              <w:r>
                <w:rPr>
                  <w:rStyle w:val="InternetLink"/>
                  <w:sz w:val="20"/>
                </w:rPr>
                <w:t>Form of Consent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10.3</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6">
              <w:r>
                <w:rPr>
                  <w:rStyle w:val="InternetLink"/>
                  <w:sz w:val="20"/>
                </w:rPr>
                <w:t>Form of Universal Resale and Registration Provisions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10.4</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10.5</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7">
              <w:r>
                <w:rPr>
                  <w:rStyle w:val="InternetLink"/>
                  <w:sz w:val="20"/>
                </w:rPr>
                <w:t>Form of Security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10.5</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10.6</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8">
              <w:r>
                <w:rPr>
                  <w:rStyle w:val="InternetLink"/>
                  <w:sz w:val="20"/>
                </w:rPr>
                <w:t>Form of Intercreditor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10.6</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10.7</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9">
              <w:r>
                <w:rPr>
                  <w:rStyle w:val="InternetLink"/>
                  <w:sz w:val="20"/>
                </w:rPr>
                <w:t>Form of Stock Option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10/15/25</w:t>
            </w:r>
          </w:p>
        </w:tc>
      </w:tr>
      <w:tr>
        <w:trPr/>
        <w:tc>
          <w:tcPr>
            <w:tcW w:w="708" w:type="dxa"/>
            <w:tcBorders/>
            <w:vAlign w:val="center"/>
          </w:tcPr>
          <w:p>
            <w:pPr>
              <w:pStyle w:val="TableContents"/>
              <w:bidi w:val="0"/>
              <w:spacing w:before="0" w:after="283"/>
              <w:jc w:val="center"/>
              <w:rPr>
                <w:sz w:val="20"/>
              </w:rPr>
            </w:pPr>
            <w:r>
              <w:rPr>
                <w:sz w:val="20"/>
              </w:rPr>
              <w:t>10.8</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0">
              <w:r>
                <w:rPr>
                  <w:rStyle w:val="InternetLink"/>
                  <w:sz w:val="20"/>
                </w:rPr>
                <w:t>Form of Forbearance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10.9</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1">
              <w:r>
                <w:rPr>
                  <w:rStyle w:val="InternetLink"/>
                  <w:sz w:val="20"/>
                </w:rPr>
                <w:t>Form of Securities Purchase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10.10</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2">
              <w:r>
                <w:rPr>
                  <w:rStyle w:val="InternetLink"/>
                  <w:sz w:val="20"/>
                </w:rPr>
                <w:t>Form of Securities Purchase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3">
              <w:r>
                <w:rPr>
                  <w:rStyle w:val="InternetLink"/>
                  <w:sz w:val="20"/>
                </w:rPr>
                <w:t>Form of Registration Rights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color w:val="0000FF"/>
                <w:sz w:val="20"/>
                <w:u w:val="single"/>
              </w:rPr>
            </w:pPr>
            <w:r>
              <w:rPr>
                <w:color w:val="0000FF"/>
                <w:sz w:val="20"/>
                <w:u w:val="single"/>
              </w:rPr>
              <w:t>Exclusive Broker-Dealer and Leak-Out Management Agreement +</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31.1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color w:val="0000FF"/>
                <w:sz w:val="20"/>
                <w:u w:val="single"/>
              </w:rPr>
            </w:pPr>
            <w:r>
              <w:rPr>
                <w:color w:val="0000FF"/>
                <w:sz w:val="20"/>
                <w:u w:val="single"/>
              </w:rPr>
              <w:t>Certification of the Principal Executive Officer pursuant to Rules 13a-14(a) and 15d-14(a), as adopted pursuant to Section 302 of the Sarbanes-Oxley Act of 2002.</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31.2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color w:val="0000FF"/>
                <w:sz w:val="20"/>
                <w:u w:val="single"/>
              </w:rPr>
            </w:pPr>
            <w:r>
              <w:rPr>
                <w:color w:val="0000FF"/>
                <w:sz w:val="20"/>
                <w:u w:val="single"/>
              </w:rPr>
              <w:t>Certification of the Principal Financial Officer pursuant to Rules 13a-14(a) and 15d-14(a), as adopted pursuant to Section 302 of the Sarbanes-Oxley Act of 2002.</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32.1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color w:val="0000FF"/>
                <w:sz w:val="20"/>
                <w:u w:val="single"/>
              </w:rPr>
            </w:pPr>
            <w:r>
              <w:rPr>
                <w:color w:val="0000FF"/>
                <w:sz w:val="20"/>
                <w:u w:val="single"/>
              </w:rPr>
              <w:t>Certification of the Principal Executive Officer and Principal Financial Officer pursuant to 18 U.S.C Section 1350, as adopted pursuant to Section 906 of the Sarbanes-Oxley Act of 2002.</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 xml:space="preserve">(2)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101.INS</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Instance Document</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101.SCH</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Schema</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101.CAL</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Calculation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101.DEF</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Definition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shd w:fill="FFFFFF" w:val="clear"/>
            <w:vAlign w:val="center"/>
          </w:tcPr>
          <w:p>
            <w:pPr>
              <w:pStyle w:val="TableContents"/>
              <w:bidi w:val="0"/>
              <w:spacing w:before="0" w:after="283"/>
              <w:jc w:val="left"/>
              <w:rPr>
                <w:sz w:val="20"/>
              </w:rPr>
            </w:pPr>
            <w:r>
              <w:rPr>
                <w:sz w:val="20"/>
              </w:rPr>
              <w:t>101.LAB</w:t>
            </w:r>
          </w:p>
        </w:tc>
        <w:tc>
          <w:tcPr>
            <w:tcW w:w="60" w:type="dxa"/>
            <w:tcBorders/>
            <w:shd w:fill="FFFFFF" w:val="clear"/>
            <w:vAlign w:val="center"/>
          </w:tcPr>
          <w:p>
            <w:pPr>
              <w:pStyle w:val="TableContents"/>
              <w:bidi w:val="0"/>
              <w:spacing w:before="0" w:after="283"/>
              <w:jc w:val="left"/>
              <w:rPr/>
            </w:pPr>
            <w:r>
              <w:rPr/>
              <w:t> </w:t>
            </w:r>
          </w:p>
        </w:tc>
        <w:tc>
          <w:tcPr>
            <w:tcW w:w="6271" w:type="dxa"/>
            <w:tcBorders/>
            <w:shd w:fill="FFFFFF" w:val="clear"/>
            <w:vAlign w:val="center"/>
          </w:tcPr>
          <w:p>
            <w:pPr>
              <w:pStyle w:val="TableContents"/>
              <w:bidi w:val="0"/>
              <w:spacing w:before="0" w:after="283"/>
              <w:jc w:val="both"/>
              <w:rPr>
                <w:sz w:val="20"/>
              </w:rPr>
            </w:pPr>
            <w:r>
              <w:rPr>
                <w:sz w:val="20"/>
              </w:rPr>
              <w:t>Inline XBRL Taxonomy Extension Label Linkbase</w:t>
            </w:r>
          </w:p>
        </w:tc>
        <w:tc>
          <w:tcPr>
            <w:tcW w:w="6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101.PRE</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Presentation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271" w:type="dxa"/>
            <w:tcBorders/>
            <w:shd w:fill="FFFFFF" w:val="clear"/>
            <w:vAlign w:val="center"/>
          </w:tcPr>
          <w:p>
            <w:pPr>
              <w:pStyle w:val="TableContents"/>
              <w:bidi w:val="0"/>
              <w:spacing w:before="0" w:after="283"/>
              <w:jc w:val="both"/>
              <w:rPr>
                <w:sz w:val="20"/>
              </w:rPr>
            </w:pPr>
            <w:r>
              <w:rPr>
                <w:sz w:val="20"/>
              </w:rPr>
              <w:t>Cover Page Interactive Data File (formatted as inline XBRL and contained in Exhibit 101).</w:t>
            </w:r>
          </w:p>
        </w:tc>
        <w:tc>
          <w:tcPr>
            <w:tcW w:w="6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w:t>
            </w:r>
          </w:p>
        </w:tc>
        <w:tc>
          <w:tcPr>
            <w:tcW w:w="9977" w:type="dxa"/>
            <w:tcBorders/>
            <w:vAlign w:val="center"/>
          </w:tcPr>
          <w:p>
            <w:pPr>
              <w:pStyle w:val="TableContents"/>
              <w:bidi w:val="0"/>
              <w:spacing w:before="0" w:after="283"/>
              <w:jc w:val="both"/>
              <w:rPr>
                <w:sz w:val="20"/>
              </w:rPr>
            </w:pPr>
            <w:r>
              <w:rPr>
                <w:sz w:val="20"/>
              </w:rPr>
              <w:t>Certain schedules, appendices and exhibits to this agreement have been omitted in accordance with Item 601(b)(2) of Regulation S-K. A copy of any omitted schedule and/or exhibit will be furnished supplementally to the SEC Staff upon request.</w:t>
            </w:r>
          </w:p>
        </w:tc>
      </w:tr>
      <w:tr>
        <w:trPr/>
        <w:tc>
          <w:tcPr>
            <w:tcW w:w="228" w:type="dxa"/>
            <w:tcBorders/>
            <w:vAlign w:val="center"/>
          </w:tcPr>
          <w:p>
            <w:pPr>
              <w:pStyle w:val="TableContents"/>
              <w:bidi w:val="0"/>
              <w:spacing w:before="0" w:after="283"/>
              <w:jc w:val="left"/>
              <w:rPr>
                <w:sz w:val="20"/>
              </w:rPr>
            </w:pPr>
            <w:r>
              <w:rPr>
                <w:sz w:val="20"/>
              </w:rPr>
              <w:t xml:space="preserve"># </w:t>
            </w:r>
          </w:p>
        </w:tc>
        <w:tc>
          <w:tcPr>
            <w:tcW w:w="9977" w:type="dxa"/>
            <w:tcBorders/>
            <w:vAlign w:val="center"/>
          </w:tcPr>
          <w:p>
            <w:pPr>
              <w:pStyle w:val="TableContents"/>
              <w:bidi w:val="0"/>
              <w:spacing w:before="0" w:after="283"/>
              <w:jc w:val="both"/>
              <w:rPr>
                <w:sz w:val="20"/>
              </w:rPr>
            </w:pPr>
            <w:r>
              <w:rPr>
                <w:sz w:val="20"/>
              </w:rPr>
              <w:t>Indicates management contract or compensatory plan, contract or agreement.</w:t>
            </w:r>
          </w:p>
        </w:tc>
      </w:tr>
      <w:tr>
        <w:trPr/>
        <w:tc>
          <w:tcPr>
            <w:tcW w:w="228"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Filed herein</w:t>
            </w:r>
          </w:p>
        </w:tc>
      </w:tr>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sz w:val="20"/>
              </w:rPr>
            </w:pPr>
            <w:r>
              <w:rPr>
                <w:sz w:val="20"/>
              </w:rPr>
              <w:t>Furnished herein.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q2_019"/>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1385"/>
        <w:gridCol w:w="365"/>
        <w:gridCol w:w="3905"/>
      </w:tblGrid>
      <w:tr>
        <w:trPr/>
        <w:tc>
          <w:tcPr>
            <w:tcW w:w="138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both"/>
              <w:rPr>
                <w:b/>
                <w:sz w:val="20"/>
              </w:rPr>
            </w:pPr>
            <w:r>
              <w:rPr>
                <w:b/>
                <w:sz w:val="20"/>
              </w:rPr>
              <w:t>ZAPATA QUANTUM, INC.</w:t>
            </w:r>
          </w:p>
        </w:tc>
      </w:tr>
      <w:tr>
        <w:trPr/>
        <w:tc>
          <w:tcPr>
            <w:tcW w:w="138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sz w:val="20"/>
              </w:rPr>
            </w:pPr>
            <w:r>
              <w:rPr>
                <w:sz w:val="20"/>
              </w:rPr>
              <w:t>August 14, 2026</w:t>
            </w:r>
          </w:p>
        </w:tc>
        <w:tc>
          <w:tcPr>
            <w:tcW w:w="365" w:type="dxa"/>
            <w:tcBorders/>
            <w:vAlign w:val="center"/>
          </w:tcPr>
          <w:p>
            <w:pPr>
              <w:pStyle w:val="TableContents"/>
              <w:bidi w:val="0"/>
              <w:spacing w:before="0" w:after="283"/>
              <w:jc w:val="both"/>
              <w:rPr>
                <w:sz w:val="20"/>
              </w:rPr>
            </w:pPr>
            <w:r>
              <w:rPr>
                <w:sz w:val="20"/>
              </w:rPr>
              <w:t xml:space="preserve">By: </w:t>
            </w:r>
          </w:p>
        </w:tc>
        <w:tc>
          <w:tcPr>
            <w:tcW w:w="3905" w:type="dxa"/>
            <w:tcBorders>
              <w:bottom w:val="single" w:sz="8" w:space="0" w:color="000000"/>
            </w:tcBorders>
            <w:tcMar>
              <w:bottom w:w="28" w:type="dxa"/>
            </w:tcMar>
            <w:vAlign w:val="center"/>
          </w:tcPr>
          <w:p>
            <w:pPr>
              <w:pStyle w:val="TableContents"/>
              <w:bidi w:val="0"/>
              <w:spacing w:before="0" w:after="283"/>
              <w:jc w:val="both"/>
              <w:rPr>
                <w:i/>
                <w:sz w:val="20"/>
              </w:rPr>
            </w:pPr>
            <w:r>
              <w:rPr>
                <w:i/>
                <w:sz w:val="20"/>
              </w:rPr>
              <w:t>/s/ Sumit Kapur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Sumit Kapur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Chief Executive Officer, Chief Financial Officer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EXCLUSIVE BROKER-DEALER AND LEAK-OUT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Broker-Dealer and Leak-Out Management Agreement (this “Agreement”) is made and entered into as of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 between Chardan Capital Markets LLC (“</w:t>
      </w:r>
      <w:r>
        <w:rPr>
          <w:rFonts w:ascii="Times New Roman;Times;Serif" w:hAnsi="Times New Roman;Times;Serif"/>
          <w:b w:val="false"/>
          <w:i w:val="false"/>
          <w:caps w:val="false"/>
          <w:smallCaps w:val="false"/>
          <w:sz w:val="20"/>
          <w:u w:val="single"/>
        </w:rPr>
        <w:t>Broker-Dealer</w:t>
      </w:r>
      <w:r>
        <w:rPr>
          <w:rFonts w:ascii="Times New Roman;Times;Serif" w:hAnsi="Times New Roman;Times;Serif"/>
          <w:b w:val="false"/>
          <w:i w:val="false"/>
          <w:caps w:val="false"/>
          <w:smallCaps w:val="false"/>
          <w:sz w:val="20"/>
        </w:rPr>
        <w:t>”) and Zapata Quantum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subsidiary of the Company that Broker-Dealer has agreed in writing to include within the scope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of the sellers as listed hereto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xml:space="preserve">”) is bound by Universal Resale and Registration Provisions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(together referred to herein as the “</w:t>
      </w:r>
      <w:r>
        <w:rPr>
          <w:rFonts w:ascii="Times New Roman;Times;Serif" w:hAnsi="Times New Roman;Times;Serif"/>
          <w:b w:val="false"/>
          <w:i w:val="false"/>
          <w:caps w:val="false"/>
          <w:smallCaps w:val="false"/>
          <w:sz w:val="20"/>
          <w:u w:val="single"/>
        </w:rPr>
        <w:t>Leak-Out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to engage Broker-Dealer as the exclusive broker-dealer and management agent to sell up to 309,000,000 shares of the Company’s common stock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such shares, the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held by the Sellers in accordance with the Leak-Out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made herein and for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Engagement</w:t>
      </w:r>
      <w:r>
        <w:rPr>
          <w:rFonts w:ascii="Times New Roman;Times;Serif" w:hAnsi="Times New Roman;Times;Serif"/>
          <w:b w:val="false"/>
          <w:i w:val="false"/>
          <w:caps w:val="false"/>
          <w:smallCaps w:val="false"/>
          <w:sz w:val="20"/>
        </w:rPr>
        <w:t>. The Company hereby engages Broker-Dealer, and Broker-Dealer agrees to act as the exclusive broker-dealer in order to manage the orderly liquidation and sale of the Restricted Shares held by Sellers. Broker-Dealer acknowledges and agrees that all sales of Restricted Shares pursuant to this Agreement shall adhere strictly to the Leak-Out Agreement and that the exclusivity relates solely to the sales of the Restricted Shares as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Compensation, Commission and Fees</w:t>
      </w:r>
      <w:r>
        <w:rPr>
          <w:rFonts w:ascii="Times New Roman;Times;Serif" w:hAnsi="Times New Roman;Times;Serif"/>
          <w:b w:val="false"/>
          <w:i w:val="false"/>
          <w:caps w:val="false"/>
          <w:smallCaps w:val="false"/>
          <w:sz w:val="20"/>
        </w:rPr>
        <w:t>. As consideration for the brokerage, monitoring, and compliance management services provided by Broker-Dealer, the parties agree to the following fees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Sales Commission</w:t>
      </w:r>
      <w:r>
        <w:rPr>
          <w:rFonts w:ascii="Times New Roman;Times;Serif" w:hAnsi="Times New Roman;Times;Serif"/>
          <w:b w:val="false"/>
          <w:i w:val="false"/>
          <w:caps w:val="false"/>
          <w:smallCaps w:val="false"/>
          <w:sz w:val="20"/>
        </w:rPr>
        <w:t>: Broker-Dealer is authorized, with the applicable Seller’s approval, to charge such Seller a cash commission equal to four percent (4%) of the gross sale proceeds realized from the sale of such Seller’s Restricted Shares sold under this Agreement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provided, that, upon the aggregate Commissions received by Broker-Dealer under this Agreement reaching two hundred thousand dollars ($200,000), the Commission rate shall automatically reduce to three percent (3%) of the gross sale proceeds for all subsequent sales. Upon Seller’s approval of the Commission, Broker-Dealer is authorized to automatically deduct the Commission from the settlement proceeds of each transaction prior to remitting the net proceeds to such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Leak-Out Orderly Trading Mechanics</w:t>
      </w:r>
      <w:r>
        <w:rPr>
          <w:rFonts w:ascii="Times New Roman;Times;Serif" w:hAnsi="Times New Roman;Times;Serif"/>
          <w:b w:val="false"/>
          <w:i w:val="false"/>
          <w:caps w:val="false"/>
          <w:smallCaps w:val="false"/>
          <w:sz w:val="20"/>
        </w:rPr>
        <w:t>. Broker-Dealer shall execute sales of the Restricted Shares in accordance with the terms of the Leak-Out Agreement. Unless otherwise agreed in writing by the Company and Broker-Dealer, all sale orders received for a given trading day shall be aggregated, and Broker-Dealer shall allocate executions among Sellers on a pro rata basis in accordance with the Leak-Out Agreement. Each Seller may, by written notice to Broker-Dealer, establish a standing instruction authorizing Broker-Dealer to include such Seller’s share of available daily volume (as determined in accordance with the Leak-Out Agreement) in each trading day’s aggregated order on an ongoing basis (a “</w:t>
      </w:r>
      <w:r>
        <w:rPr>
          <w:rFonts w:ascii="Times New Roman;Times;Serif" w:hAnsi="Times New Roman;Times;Serif"/>
          <w:b w:val="false"/>
          <w:i w:val="false"/>
          <w:caps w:val="false"/>
          <w:smallCaps w:val="false"/>
          <w:sz w:val="20"/>
          <w:u w:val="single"/>
        </w:rPr>
        <w:t>Standing Sell Order</w:t>
      </w:r>
      <w:r>
        <w:rPr>
          <w:rFonts w:ascii="Times New Roman;Times;Serif" w:hAnsi="Times New Roman;Times;Serif"/>
          <w:b w:val="false"/>
          <w:i w:val="false"/>
          <w:caps w:val="false"/>
          <w:smallCaps w:val="false"/>
          <w:sz w:val="20"/>
        </w:rPr>
        <w:t>”). A Standing Sell Order shall remain in effect until revoked by written notice from the applicable Seller received by Broker-Dealer no later than 4:00 p.m. Eastern Time on the trading day prior to the trading day on which such revocation is to take effect. For so long as the Common Stock is not listed on a national securities exchange, Broker-Dealer shall use reasonable efforts to execute such aggregated orders throughout the trading day seeking the best available price consistent with orderly trading and in a manner which seeks to approximate a volume-weighted average price methodology, incorporating a five percent (5%) price protection limit measured from the prior trading day’s closing price, to the extent reasonably practicable in light of available liquidity, trading volume and other market conditions. If and when the Common Stock becomes listed on a national securities exchange, Broker-Dealer shall, in the absence of unusual trading activity or market developments, seek to execute such aggregated orders in a manner reasonably similar to a volume-weighted average price methodology, incorporating a five percent (5%) price protection limit measured from the prior trading day’s closing price. In either case, each Seller shall receive the actual weighted average execution price achieved by Broker-Dealer for such Seller’s pro rata share of the aggregated orders on the applicable trading day, less the Commission. Notwithstanding anything in this Section 3, Broker-Dealer shall have no obligation to effect any sale of Restricted Shares on any trading day if, in Broker-Dealer’s reasonable judgment, (a) effecting such sale would violate or be inconsistent with any applicable law, rule or regulation, Broker-Dealer’s duty of best execution or any internal compliance policy applicable to Broker-Dealer, (b) market conditions (including unusually low trading volume, excessive price volatility or the absence of reliable pricing) are such that execution would not be consistent with orderly trading or the protection of Sellers, or (c) such sale cannot be effected due to a suspension or limitation of trading, a trading halt or similar market disruption. Broker-Dealer shall promptly notify the Company if it declines to effect sales pursuant to this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Company Representations</w:t>
      </w:r>
      <w:r>
        <w:rPr>
          <w:rFonts w:ascii="Times New Roman;Times;Serif" w:hAnsi="Times New Roman;Times;Serif"/>
          <w:b w:val="false"/>
          <w:i w:val="false"/>
          <w:caps w:val="false"/>
          <w:smallCaps w:val="false"/>
          <w:sz w:val="20"/>
        </w:rPr>
        <w:t>. The Company hereby represents, warrants, and covenants to Broker-Dealer that, as of the date hereof and on each date on which Broker-Dealer executes a sale of Restricted Shares hereunder: (a) Sellers are bound by the Leak-Out Agreement to route one-hundred percent (100%) of their trades of Restricted Shares exclusively through Broker-Dealer’s designated trading desk during the Lock-Up Period (as defined in the Leak-Out Agreement); (b) each Leak-Out Agreement is valid, binding and enforceable against the applicable Seller in accordance with its terms; (c) the Restricted Shares have been duly authorized, validly issued and are fully paid and non-assessable; (d) the Company is current in its reporting obligations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(e) the Company has all necessary corporate power and authority to enter into and perform its obligations under this Agreement and the execution, delivery and performance of this Agreement have been duly authorized by all necessary corporate action; (f) the Company will (i) promptly notify Broker-Dealer in writing of any changes to the list of Sellers (including any permitted transferee that becomes a Holder under the Leak-Out Agreement), any modifications, waivers or amendments to any Leak-Out Agreement and any event or circumstance that would cause any of the foregoing representations to be untrue or inaccurate in any material respect, (ii) notify the Sellers of Broker-Dealer’s appointment as exclusive broker-dealer and manager pursuant to this Agreement, and (iii) use commercially reasonable efforts to cause any permitted transferee of Restricted Shares under the Leak-Out Agreement to satisfy the conditions set forth in Section 6 within thirty (30) days following the date of such transfer, and no such transferee shall be treated as a Seller hereunder or be entitled to route sell orders through Broker-Dealer until such conditions have been satisfied; (g) there is no action, suit or proceeding pending or, to the Company’s knowledge, threatened that would reasonably be expected to result in a trading halt, suspension of the effectiveness of any registration statement covering the Restricted Shares, or material impairment of the Company’s ability to perform hereunder; (h) neither the Company nor, to the Company’s knowledge, any Seller is in violation of any applicable federal or state securities law or regulation, including the anti-fraud and anti-manipulation provisions of the Exchange Act, in connection with the transactions contemplated hereby; (i) the Sellers listed on Exhibit B constitute all Holders (as defined in the Leak-Out Agreement) as of the date of this Agreement; and (j) no later than five (5) business days following the date hereof, the Company shall deliver to Broker-Dealer a schedule setting forth, for each Seller, the total number of Restricted Shares held by or issuable to such Seller (the “</w:t>
      </w:r>
      <w:r>
        <w:rPr>
          <w:rFonts w:ascii="Times New Roman;Times;Serif" w:hAnsi="Times New Roman;Times;Serif"/>
          <w:b w:val="false"/>
          <w:i w:val="false"/>
          <w:caps w:val="false"/>
          <w:smallCaps w:val="false"/>
          <w:sz w:val="20"/>
          <w:u w:val="single"/>
        </w:rPr>
        <w:t>Seller Schedule</w:t>
      </w:r>
      <w:r>
        <w:rPr>
          <w:rFonts w:ascii="Times New Roman;Times;Serif" w:hAnsi="Times New Roman;Times;Serif"/>
          <w:b w:val="false"/>
          <w:i w:val="false"/>
          <w:caps w:val="false"/>
          <w:smallCaps w:val="false"/>
          <w:sz w:val="20"/>
        </w:rPr>
        <w:t>”), and shall promptly update the Seller Schedule to reflect any changes thereto, including the addition of any permitted transferee. Broker-Dealer shall track each Seller’s cumulative sales and remaining individual selling capacity under the Leak-Out Agreement based on the Seller Schedule and Broker-Dealer’s own execution records, and shall be entitled to conclusively rely on the accuracy and completeness of the Seller Schedule as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hereby represents, warrants, and covenants to Broker-Dealer that, as of the date hereof and on each date on which Broker-Dealer executes a sale of Restricted Shares hereunder, to the Company’s knowledge, no Seller is (a) a person or entity identified on the Specially Designated Nationals and Blocked Persons List maintained by the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of the U.S. Department of the Treasury, (b) otherwise subject to sanctions administered by OFAC or any other applicable governmental authority, or (c) a person or entity with respect to which Broker-Dealer would be required to file a suspicious activity report under applicable law solely by reason of effecting transactions in the Restricted Shares on behalf of such Seller. The Company shall promptly notify Broker-Dealer in writing of the following and, if known in advance, reasonably prior to the applicable event or circumstance occurring: (i) if the Company becomes aware of any facts or circumstances that would cause any of the foregoing representations to be untrue, (ii) of the commencement and termination of any Allowable Grace Period (as defined in the Leak-Out Agreement), any other period during which the use of the prospectus forming part of the Resale Registration Statement or Piggyback Registration Statement (each as defined in the Leak-Out Agreement) is suspended, or any blackout period or other restriction on sales of Restricted Shares of which the Company becomes aware, (iii) of any actual or anticipated failure by the Company to timely file a report required under the Exchange Act or any other event or circumstance that could cause the Resale Registration Statement or Piggyback Registration Statement to cease to be effective or available, or sales of Restricted Shares pursuant to Rule 144 to be unavailable, and (iv) of any offering, distribution or other activity by the Company, its affiliates, or any Seller that could cause Broker-Dealer to be a distribution participant or affiliated purchaser (as such terms are defined in Regulation M under the Exchange Act) with respect to the Common Stock. Broker-Dealer shall suspend all trading activity hereunder during any period described in clause (ii) or clause (iii) or any period in which Broker-Dealer is restricted under Regulation M, in each case without liability to the Company or any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Seller Account Requirement</w:t>
      </w:r>
      <w:r>
        <w:rPr>
          <w:rFonts w:ascii="Times New Roman;Times;Serif" w:hAnsi="Times New Roman;Times;Serif"/>
          <w:b w:val="false"/>
          <w:i w:val="false"/>
          <w:caps w:val="false"/>
          <w:smallCaps w:val="false"/>
          <w:sz w:val="20"/>
        </w:rPr>
        <w:t xml:space="preserve">. As a condition precedent to Broker-Dealer’s obligation to accept or execute any sell order for Restricted Shares on behalf of any Seller, such Seller shall (a) open and maintain a brokerage account with Broker-Dealer, (b) execute such account documentation as Broker-Dealer may reasonably require, and (c) deliver to Broker-Dealer a written acknowledgment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The Company shall use commercially reasonable efforts to cause each Seller to satisfy the foregoing conditions within thirty (30) days following the date of this Agreement, and shall promptly notify Broker-Dealer of any Seller that fails or refuses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(a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will use reasonable efforts (no less than those it uses to protect its own confidential information) to hold in confidence any confidential information which the other party (a “</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provides to the Receiving Party pursuant to this Agreement which is designated by an appropriate stamp, legend or mark as being confidential or which, given the nature of the information or the circumstances of disclosure, a reasonable person would understand to be confidential. Notwithstanding the foregoing, a Receiving Party shall not be required to maintain confidentiality with respect to information (i) which is or becomes part of the public domain not due to the breach of this Agreement by the Receiving Party; (ii) of which the Receiving Party had independent knowledge prior to disclosure; (iii) which comes into the possession of the Receiving Party in the normal and routine course of its own business from and through independent non-confidential sources; (iv) which is required to be disclosed by the Receiving Party by applicable laws, rules or regulations, including in response to a subpoena, civil investigative demand or similar legal process; or (v) which is disclosed by Broker-Dealer to the Financial Industry Regulatory Authority, the Securities and Exchange Commission or any other governmental authority having jurisdiction over Broker-Dealer in connection with routine examinations or ordinary-course regulatory interactions. If a Receiving Party is requested or required to disclose any confidential information supplied to it by the Disclosing Party (other than pursuant to clause (v) above), the Receiving Party shall, unless prohibited by law, use reasonable efforts to promptly notify the Disclosing Party of such request(s) so that the Disclosing Party (at its sole cost and expense) may seek an appropriate protective order. The obligations of this Section 7 shall survive termination of this Agreement for a period of one (1)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Business Activities</w:t>
      </w:r>
      <w:r>
        <w:rPr>
          <w:rFonts w:ascii="Times New Roman;Times;Serif" w:hAnsi="Times New Roman;Times;Serif"/>
          <w:b w:val="false"/>
          <w:i w:val="false"/>
          <w:caps w:val="false"/>
          <w:smallCaps w:val="false"/>
          <w:sz w:val="20"/>
        </w:rPr>
        <w:t>. The Company acknowledges that Broker-Dealer or its affiliates are in the business of providing financial services and advice to others. Nothing herein contained shall be construed to limit or restrict Broker-Dealer in conducting any business with others, or in rendering such services or advice to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business, Broker-Dealer may acquire information about a transaction, potential participants or other parties to a transaction. Broker-Dealer shall have no obligation to disclose such information to the Company or to use such information on the Company’s behalf. The Company acknowledges that Broker-Dealer may have fiduciary or other relationships whereby Broker-Dealer may exercise voting power over the securities of various persons, which securities may from time to time include those of the Company or a participant or a related or interested party to them or the transaction. The Company acknowledges that Broker-Dealer may exercise such powers and otherwise perform its functions in connection with such fiduciary or other relationships without regard to its relationship to the Company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 Termination</w:t>
      </w:r>
      <w:r>
        <w:rPr>
          <w:rFonts w:ascii="Times New Roman;Times;Serif" w:hAnsi="Times New Roman;Times;Serif"/>
          <w:b w:val="false"/>
          <w:i w:val="false"/>
          <w:caps w:val="false"/>
          <w:smallCaps w:val="false"/>
          <w:sz w:val="20"/>
        </w:rPr>
        <w:t>. This Agreement shall commence on the date hereof and the obligation of the Broker-Dealer to provide services under this Agreement will terminate at the expiration or earlier termination of the Lock-Up Period (as defined in the Leak-Out Agreement)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may terminate this Agreement for any reason upon five (5) business days’ advance written notice to Broker-Dealer. Either party may terminate this Agreement upon fifteen (15) business days’ advance written notice to the other party in the event of a material breach by such other party of any representation, warranty, covenant or obligation under this Agreement that remains uncured for a period of fifteen (15) business days following receipt of such notice (it being understood that such cure and notice periods may run concurrently, that during such period all trading activity hereunder may, at the non-breaching party’s election, be suspended, and, if such breach is not capable of being cured, as reasonably determined by the non-breaching party, such termination may become effective immediately upon receipt of such notice). Upon the termination or expiration of this Agreement for any reason other than a termination by the Company for Broker-Dealer’s uncured material breach pursuant to the preceding sentence, the Company shall pay to Broker-Dealer, within five (5) business days following the effective date of such termination or expiration, an amount equal to the excess, if any, of four hundred thousand dollars ($400,000) over the aggregate Commissions actually received by Broker-Dealer under this Agreement prior to such termination or expiration. Broker-Dealer may suspend all trading activity hereunder at any time if, in Broker-Dealer’s reasonable discretion, continued performance would be non-compliant with applicable law, regulation (including the rules and regulations of the Financial Industry Regulatory Authority or the Securities and Exchange Commission) or Broker-Dealer’s internal compliance policies, and such suspension shall continue until the applicable condition is resolved to Broker-Dealer’s reasonable satisfaction. Any termination or suspension of this Agreement shall not affect the rights and obligations of the parties with respect to transactions effected prior to the effectiveness of such termination or suspension. Any termination of this Agreement will not terminate the provisions of this Agreement in Sections 2 (Compensation, Commission and Fees), 6 (Seller Account Requirement), 7 (Confidentiality) (subject to its terms), 8 (Business Activities), 9 (Term, Termination), 10 (Indemnity), and 13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Company agrees to indemnify, defend and hold harmless Broker-Dealer, its affiliates, and each of their respective employees, agents, representatives, directors, officers and controlling persons (collectively,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from and against any and all actual losses, claims, damages, liabilities, costs and expenses of or resulting from any suits, actions, investigations or other proceedings (collectively,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including reasonable attorney fees and expenses, as and when incurred, if such Damages were directly or indirectly caused by, relating to, based upon or arising out of the rendering by Broker-Dealer of services pursuant to this Agreement or any breach by the Company of any representation, warranty, covenant or obligation under this Agreement, provided, that the Company shall not be required to indemnify Broker-Dealer to the extent Broker-Dealer has engaged in intentional or willful misconduct, or shall have acted grossly negligent, in connection with the services provided which form the basis of the claim for indemnification (in each case, as finally determined by a court of competent jurisdiction). The Company shall advance to the Indemnified Parties reasonable attorney fees and expenses as and when incurred upon receipt of an undertaking by the applicable Indemnified Party to repay such amounts if it is finally determined by a court of competent jurisdiction that such Indemnified Party is not entitled to indemnification hereunder. Broker-Dealer shall have no liability to the Company or any Seller in connection with this Agreement or the services provided hereunder, except to the extent that any Damages are finally judicially determined by a court of competent jurisdiction to have resulted solely from Broker-Dealer’s gross negligence or willful misconduct. In no event shall Broker-Dealer’s aggregate liability arising out of or in connection with this Agreement exceed the aggregate commissions actually received by Broker-Dealer under this Agreement. If the indemnification provided for in this Section 10 is unavailable or insufficient to hold an Indemnified Party harmless for any Damages, the Company shall contribute to the amount paid or payable by such Indemnified Party as a result of such Damages in the first instance, and the Company hereby waives any right of contribution against any Indemnified Party. All commissions earned by and paid to Broker-Dealer hereunder shall be fully earned, non-refundable and non-recoverable upon receipt, and shall not be subject to offset, chargeback or clawback. This Section 10 shall survive the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Independent Contractor</w:t>
      </w:r>
      <w:r>
        <w:rPr>
          <w:rFonts w:ascii="Times New Roman;Times;Serif" w:hAnsi="Times New Roman;Times;Serif"/>
          <w:b w:val="false"/>
          <w:i w:val="false"/>
          <w:caps w:val="false"/>
          <w:smallCaps w:val="false"/>
          <w:sz w:val="20"/>
        </w:rPr>
        <w:t>. Broker-Dealer shall perform its services hereunder as an independent contractor and not as an employee or agent of the Company or any affiliate thereof. Broker-Dealer shall have no authority to act for, represent or bind the Company or any affiliate thereof in any manner, except as may be expressly agreed to by the Company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The parties agree to use reasonable efforts to execute and deliver such documents and instruments, whether expressly provided for herein or not, as may be necessary or appropriate to effectuate any of the provisions of this Agreement. The Company shall use commercially reasonable efforts to cause its transfer agent to transfer Restricted Shares, including Restricted Shares issued upon the exercise or conversion of any warrant or other convertible security, as directed by Broker-Dealer in connection with any sell order made and accepted by Broker-Dealer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This Agreement constitutes the entire agreement between the parties with respect to the subject matter hereof. No provision of this Agreement may be amended, modified or waived, except in a writing signed by both parties. If any provision of this Agreement be invalid or unenforceable, the remainder of the Agreement or the application of the provision to persons or circumstances other than those as to which it is held invalid or unenforceable, will not be affected thereby, and each provision of this Agreement will be valid and be enforced to the fullest extent permitted by law. Neither party may assign this Agreement without the prior written consent of the other party, and any purported assignment in violation of this sentence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This Agreement shall be binding upon and inure to the benefit of each of the parties and their respective permitted successors, legal representatives and assigns. This Agreement may be executed in counterparts (including by electronic signature or .pdf). All notices or other communications required or permitted to be given under this Agreement shall be in writing and shall be deemed to have been duly given (a) when delivered personally, (b) upon receipt of confirmation if sent by email (provided that no automated error or “bounce back” message is received), (c) one (1) business day after being sent by nationally recognized overnight courier service, or (d) five (5) business days after being mailed by certified or registered mail, return receipt requested, postage prepaid, in each case addressed to the applicable party at the address set forth below (or at such other address as such party may designate by notice to the other party in accordance with this provision). This Agreement shall be construed and enforced in accordance with the laws of the State of New York, without giving effect to conflict of laws. Each party hereby irrevocably submits to the exclusive jurisdiction of, and agrees that venue shall be proper in, the Federal and State courts located in the Borough of Manhattan, City of New York, in any suit or proceeding arising out of or relating to this Agreement, and each party waives any objection to such jurisdiction or venue. EACH PARTY HEREBY IRREVOCABLY WAIVES ANY AND ALL RIGHTS TO TRIAL BY JURY WITH RESPECT TO ANY LEGAL PROCEEDING ARISING OUT OF OR RELATING TO THIS AGREEMENT OR ANY TRANSACTION CONTEMPLATED HEREBY. Except for the Indemnified Parties, nothing in this Agreement is intended to confer any right or benefit upon any third party. This Agreement shall be deemed jointly drafted by all parties hereto, and any rule requiring any provision of this Agreement to be construed against the drafter is hereby waived. The prevailing party in any action or proceeding brought to enforce or otherwise recover under this Agreement will be entitled to an award of all reasonable attorney’s fees and expenses incurred in connection therewith. For purposes of this Agreement, “include,” “includes,” “including,” and words of similar import shall be deemed to be followed by the words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on the day and year first above written.</w:t>
      </w:r>
    </w:p>
    <w:p>
      <w:pPr>
        <w:pStyle w:val="TextBody"/>
        <w:bidi w:val="0"/>
        <w:spacing w:before="0" w:after="0"/>
        <w:ind w:left="0" w:right="0" w:hanging="0"/>
        <w:jc w:val="center"/>
        <w:rPr>
          <w:caps w:val="false"/>
          <w:smallCaps w:val="false"/>
        </w:rPr>
      </w:pPr>
      <w:r>
        <w:rPr>
          <w:caps w:val="false"/>
          <w:smallCaps w:val="false"/>
        </w:rPr>
        <w:t> </w:t>
      </w:r>
    </w:p>
    <w:tbl>
      <w:tblPr>
        <w:tblW w:w="5789" w:type="dxa"/>
        <w:jc w:val="left"/>
        <w:tblInd w:w="0" w:type="dxa"/>
        <w:tblLayout w:type="fixed"/>
        <w:tblCellMar>
          <w:top w:w="0" w:type="dxa"/>
          <w:left w:w="0" w:type="dxa"/>
          <w:bottom w:w="0" w:type="dxa"/>
          <w:right w:w="0" w:type="dxa"/>
        </w:tblCellMar>
      </w:tblPr>
      <w:tblGrid>
        <w:gridCol w:w="2883"/>
        <w:gridCol w:w="346"/>
        <w:gridCol w:w="60"/>
        <w:gridCol w:w="545"/>
        <w:gridCol w:w="1955"/>
      </w:tblGrid>
      <w:tr>
        <w:trPr/>
        <w:tc>
          <w:tcPr>
            <w:tcW w:w="3229" w:type="dxa"/>
            <w:gridSpan w:val="2"/>
            <w:tcBorders/>
            <w:vAlign w:val="center"/>
          </w:tcPr>
          <w:p>
            <w:pPr>
              <w:pStyle w:val="TableContents"/>
              <w:bidi w:val="0"/>
              <w:spacing w:before="0" w:after="283"/>
              <w:jc w:val="left"/>
              <w:rPr>
                <w:sz w:val="20"/>
              </w:rPr>
            </w:pPr>
            <w:r>
              <w:rPr>
                <w:sz w:val="20"/>
              </w:rPr>
              <w:t>CHARDAN CAPITAL MARKETS LLC</w:t>
            </w:r>
          </w:p>
        </w:tc>
        <w:tc>
          <w:tcPr>
            <w:tcW w:w="6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sz w:val="20"/>
              </w:rPr>
            </w:pPr>
            <w:r>
              <w:rPr>
                <w:sz w:val="20"/>
              </w:rPr>
              <w:t>ZAPATA QUANTUM INC.</w:t>
            </w:r>
          </w:p>
        </w:tc>
      </w:tr>
      <w:tr>
        <w:trPr/>
        <w:tc>
          <w:tcPr>
            <w:tcW w:w="2883"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883" w:type="dxa"/>
            <w:tcBorders/>
            <w:vAlign w:val="center"/>
          </w:tcPr>
          <w:p>
            <w:pPr>
              <w:pStyle w:val="TableContents"/>
              <w:bidi w:val="0"/>
              <w:spacing w:before="0" w:after="283"/>
              <w:jc w:val="left"/>
              <w:rPr>
                <w:sz w:val="20"/>
              </w:rPr>
            </w:pPr>
            <w:r>
              <w:rPr>
                <w:sz w:val="20"/>
              </w:rPr>
              <w:t>By:</w:t>
            </w:r>
          </w:p>
        </w:tc>
        <w:tc>
          <w:tcPr>
            <w:tcW w:w="34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883" w:type="dxa"/>
            <w:tcBorders/>
            <w:vAlign w:val="center"/>
          </w:tcPr>
          <w:p>
            <w:pPr>
              <w:pStyle w:val="TableContents"/>
              <w:bidi w:val="0"/>
              <w:spacing w:before="0" w:after="283"/>
              <w:jc w:val="left"/>
              <w:rPr>
                <w:sz w:val="20"/>
              </w:rPr>
            </w:pPr>
            <w:r>
              <w:rPr>
                <w:sz w:val="20"/>
              </w:rPr>
              <w:t>Name:</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Sumit Kapur</w:t>
            </w:r>
          </w:p>
        </w:tc>
      </w:tr>
      <w:tr>
        <w:trPr/>
        <w:tc>
          <w:tcPr>
            <w:tcW w:w="2883" w:type="dxa"/>
            <w:tcBorders/>
            <w:vAlign w:val="center"/>
          </w:tcPr>
          <w:p>
            <w:pPr>
              <w:pStyle w:val="TableContents"/>
              <w:bidi w:val="0"/>
              <w:spacing w:before="0" w:after="283"/>
              <w:jc w:val="left"/>
              <w:rPr>
                <w:sz w:val="20"/>
              </w:rPr>
            </w:pPr>
            <w:r>
              <w:rPr>
                <w:sz w:val="20"/>
              </w:rPr>
              <w:t>Title:</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441"/>
        <w:gridCol w:w="83"/>
        <w:gridCol w:w="60"/>
        <w:gridCol w:w="928"/>
        <w:gridCol w:w="1161"/>
      </w:tblGrid>
      <w:tr>
        <w:trPr/>
        <w:tc>
          <w:tcPr>
            <w:tcW w:w="2524" w:type="dxa"/>
            <w:gridSpan w:val="2"/>
            <w:tcBorders/>
            <w:vAlign w:val="center"/>
          </w:tcPr>
          <w:p>
            <w:pPr>
              <w:pStyle w:val="TableContents"/>
              <w:bidi w:val="0"/>
              <w:spacing w:before="0" w:after="283"/>
              <w:jc w:val="left"/>
              <w:rPr>
                <w:sz w:val="20"/>
              </w:rPr>
            </w:pPr>
            <w:r>
              <w:rPr>
                <w:sz w:val="20"/>
              </w:rPr>
              <w:t>Address for Notices:</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r>
      <w:tr>
        <w:trPr/>
        <w:tc>
          <w:tcPr>
            <w:tcW w:w="2524" w:type="dxa"/>
            <w:gridSpan w:val="2"/>
            <w:tcBorders/>
            <w:vAlign w:val="center"/>
          </w:tcPr>
          <w:p>
            <w:pPr>
              <w:pStyle w:val="TableContents"/>
              <w:bidi w:val="0"/>
              <w:spacing w:before="0" w:after="283"/>
              <w:jc w:val="left"/>
              <w:rPr>
                <w:b/>
                <w:sz w:val="20"/>
              </w:rPr>
            </w:pPr>
            <w:r>
              <w:rPr>
                <w:b/>
                <w:sz w:val="20"/>
              </w:rPr>
              <w:t>One Pennsylvania Plaza</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6 Liberty Square, #2488</w:t>
            </w:r>
          </w:p>
        </w:tc>
      </w:tr>
      <w:tr>
        <w:trPr/>
        <w:tc>
          <w:tcPr>
            <w:tcW w:w="2524" w:type="dxa"/>
            <w:gridSpan w:val="2"/>
            <w:tcBorders/>
            <w:vAlign w:val="center"/>
          </w:tcPr>
          <w:p>
            <w:pPr>
              <w:pStyle w:val="TableContents"/>
              <w:bidi w:val="0"/>
              <w:spacing w:before="0" w:after="283"/>
              <w:jc w:val="left"/>
              <w:rPr>
                <w:b/>
                <w:sz w:val="20"/>
              </w:rPr>
            </w:pPr>
            <w:r>
              <w:rPr>
                <w:b/>
                <w:sz w:val="20"/>
              </w:rPr>
              <w:t>Suite 4800</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Boston, MA 02109</w:t>
            </w:r>
          </w:p>
        </w:tc>
      </w:tr>
      <w:tr>
        <w:trPr/>
        <w:tc>
          <w:tcPr>
            <w:tcW w:w="2524" w:type="dxa"/>
            <w:gridSpan w:val="2"/>
            <w:tcBorders/>
            <w:vAlign w:val="center"/>
          </w:tcPr>
          <w:p>
            <w:pPr>
              <w:pStyle w:val="TableContents"/>
              <w:bidi w:val="0"/>
              <w:spacing w:before="0" w:after="283"/>
              <w:jc w:val="left"/>
              <w:rPr>
                <w:b/>
                <w:sz w:val="20"/>
              </w:rPr>
            </w:pPr>
            <w:r>
              <w:rPr>
                <w:b/>
                <w:sz w:val="20"/>
              </w:rPr>
              <w:t>New York, NY 10119</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r>
      <w:tr>
        <w:trPr/>
        <w:tc>
          <w:tcPr>
            <w:tcW w:w="2524" w:type="dxa"/>
            <w:gridSpan w:val="2"/>
            <w:tcBorders/>
            <w:vAlign w:val="center"/>
          </w:tcPr>
          <w:p>
            <w:pPr>
              <w:pStyle w:val="TableContents"/>
              <w:bidi w:val="0"/>
              <w:spacing w:before="0" w:after="283"/>
              <w:jc w:val="left"/>
              <w:rPr>
                <w:b/>
                <w:sz w:val="20"/>
              </w:rPr>
            </w:pPr>
            <w:r>
              <w:rPr>
                <w:b/>
                <w:sz w:val="20"/>
              </w:rPr>
              <w:t>Email: [_____] with a copy to</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Email: [_____]</w:t>
            </w:r>
          </w:p>
        </w:tc>
      </w:tr>
      <w:tr>
        <w:trPr/>
        <w:tc>
          <w:tcPr>
            <w:tcW w:w="2441" w:type="dxa"/>
            <w:tcBorders/>
            <w:vAlign w:val="center"/>
          </w:tcPr>
          <w:p>
            <w:pPr>
              <w:pStyle w:val="TableContents"/>
              <w:bidi w:val="0"/>
              <w:spacing w:before="0" w:after="283"/>
              <w:jc w:val="left"/>
              <w:rPr>
                <w:b/>
                <w:sz w:val="20"/>
              </w:rPr>
            </w:pPr>
            <w:r>
              <w:rPr>
                <w:b/>
                <w:sz w:val="20"/>
              </w:rPr>
              <w:t>legal@chardan.com</w:t>
            </w:r>
          </w:p>
        </w:tc>
        <w:tc>
          <w:tcPr>
            <w:tcW w:w="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[LEAK-OUT AGREEMENT AND ATTACHMENT]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SELLER 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Sumit Kapur,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28" w:type="dxa"/>
          <w:right w:w="0" w:type="dxa"/>
        </w:tblCellMar>
      </w:tblPr>
      <w:tblGrid>
        <w:gridCol w:w="2360"/>
        <w:gridCol w:w="75"/>
      </w:tblGrid>
      <w:tr>
        <w:trPr/>
        <w:tc>
          <w:tcPr>
            <w:tcW w:w="2360"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Sumit Kapur,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 xml:space="preserve">Chief Financial Officer </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r>
        <w:rPr>
          <w:b/>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Zapata Quantum, Inc. (the “Company”) on Form 10-Q for the quarter ended June 30, 2026, as filed with the Securities and Exchange Commission on the date hereof, I, Sumit Kapur, certify, pursuant to 18 U.S.C. Sec.1350, as adopted pursuant to Sec.906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4970" w:type="dxa"/>
        <w:jc w:val="left"/>
        <w:tblInd w:w="0" w:type="dxa"/>
        <w:tblLayout w:type="fixed"/>
        <w:tblCellMar>
          <w:top w:w="0" w:type="dxa"/>
          <w:left w:w="0" w:type="dxa"/>
          <w:bottom w:w="28" w:type="dxa"/>
          <w:right w:w="0" w:type="dxa"/>
        </w:tblCellMar>
      </w:tblPr>
      <w:tblGrid>
        <w:gridCol w:w="4895"/>
        <w:gridCol w:w="75"/>
      </w:tblGrid>
      <w:tr>
        <w:trPr/>
        <w:tc>
          <w:tcPr>
            <w:tcW w:w="4895"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Chief Executive Officer and 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(Principal Executive Officer and 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714/000119312523229092/d539142dex21.htm" TargetMode="External"/><Relationship Id="rId3" Type="http://schemas.openxmlformats.org/officeDocument/2006/relationships/hyperlink" Target="https://www.sec.gov/Archives/edgar/data/1843714/000119312524085161/d13242dex31.htm" TargetMode="External"/><Relationship Id="rId4" Type="http://schemas.openxmlformats.org/officeDocument/2006/relationships/hyperlink" Target="https://www.sec.gov/Archives/edgar/data/1843714/000107997325001390/ex3x1.htm" TargetMode="External"/><Relationship Id="rId5" Type="http://schemas.openxmlformats.org/officeDocument/2006/relationships/hyperlink" Target="https://www.sec.gov/Archives/edgar/data/1843714/000107997325001650/ex4x1.htm" TargetMode="External"/><Relationship Id="rId6" Type="http://schemas.openxmlformats.org/officeDocument/2006/relationships/hyperlink" Target="https://www.sec.gov/Archives/edgar/data/1843714/000107997325001182/ex4x1.htm" TargetMode="External"/><Relationship Id="rId7" Type="http://schemas.openxmlformats.org/officeDocument/2006/relationships/hyperlink" Target="https://www.sec.gov/Archives/edgar/data/1843714/000107997325001665/ex4x1.htm" TargetMode="External"/><Relationship Id="rId8" Type="http://schemas.openxmlformats.org/officeDocument/2006/relationships/hyperlink" Target="https://www.sec.gov/Archives/edgar/data/1843714/000107997326000454/ex3x1.htm" TargetMode="External"/><Relationship Id="rId9" Type="http://schemas.openxmlformats.org/officeDocument/2006/relationships/hyperlink" Target="https://www.sec.gov/Archives/edgar/data/1843714/000119312524085161/d13242dex32.htm" TargetMode="External"/><Relationship Id="rId10" Type="http://schemas.openxmlformats.org/officeDocument/2006/relationships/hyperlink" Target="https://www.sec.gov/Archives/edgar/data/1843714/000155335025000061/ex4x1.htm" TargetMode="External"/><Relationship Id="rId11" Type="http://schemas.openxmlformats.org/officeDocument/2006/relationships/hyperlink" Target="https://www.sec.gov/Archives/edgar/data/1843714/000155335025000061/ex4x2.htm" TargetMode="External"/><Relationship Id="rId12" Type="http://schemas.openxmlformats.org/officeDocument/2006/relationships/hyperlink" Target="https://www.sec.gov/Archives/edgar/data/1843714/000107997326000454/ex4x1.htm" TargetMode="External"/><Relationship Id="rId13" Type="http://schemas.openxmlformats.org/officeDocument/2006/relationships/hyperlink" Target="https://www.sec.gov/Archives/edgar/data/1843714/000155335025000061/ex10x1.htm" TargetMode="External"/><Relationship Id="rId14" Type="http://schemas.openxmlformats.org/officeDocument/2006/relationships/hyperlink" Target="https://www.sec.gov/Archives/edgar/data/1843714/000155335025000061/ex10x2.htm" TargetMode="External"/><Relationship Id="rId15" Type="http://schemas.openxmlformats.org/officeDocument/2006/relationships/hyperlink" Target="https://www.sec.gov/Archives/edgar/data/1843714/000155335025000061/ex10x3.htm" TargetMode="External"/><Relationship Id="rId16" Type="http://schemas.openxmlformats.org/officeDocument/2006/relationships/hyperlink" Target="https://www.sec.gov/Archives/edgar/data/1843714/000155335025000061/ex10x4.htm" TargetMode="External"/><Relationship Id="rId17" Type="http://schemas.openxmlformats.org/officeDocument/2006/relationships/hyperlink" Target="https://www.sec.gov/Archives/edgar/data/1843714/000155335025000061/ex10x5.htm" TargetMode="External"/><Relationship Id="rId18" Type="http://schemas.openxmlformats.org/officeDocument/2006/relationships/hyperlink" Target="https://www.sec.gov/Archives/edgar/data/1843714/000155335025000061/ex10x6.htm" TargetMode="External"/><Relationship Id="rId19" Type="http://schemas.openxmlformats.org/officeDocument/2006/relationships/hyperlink" Target="https://www.sec.gov/Archives/edgar/data/1843714/000107997325001613/ex10x1.htm" TargetMode="External"/><Relationship Id="rId20" Type="http://schemas.openxmlformats.org/officeDocument/2006/relationships/hyperlink" Target="https://www.sec.gov/Archives/edgar/data/1843714/000107997325001650/ex10x1.htm" TargetMode="External"/><Relationship Id="rId21" Type="http://schemas.openxmlformats.org/officeDocument/2006/relationships/hyperlink" Target="https://www.sec.gov/Archives/edgar/data/1843714/000107997325001650/ex10x2.htm" TargetMode="External"/><Relationship Id="rId22" Type="http://schemas.openxmlformats.org/officeDocument/2006/relationships/hyperlink" Target="https://www.sec.gov/Archives/edgar/data/1843714/000107997326000454/ex10x1.htm" TargetMode="External"/><Relationship Id="rId23" Type="http://schemas.openxmlformats.org/officeDocument/2006/relationships/hyperlink" Target="https://www.sec.gov/Archives/edgar/data/1843714/000107997326000454/ex10x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19362</Words>
  <Characters>109178</Characters>
  <CharactersWithSpaces>130949</CharactersWithSpaces>
  <Paragraphs>6502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