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zapata_8k.htm"/>
      <w:bookmarkStart w:id="1" w:name="kszapata_8k"/>
      <w:bookmarkEnd w:id="0"/>
      <w:bookmarkEnd w:id="1"/>
      <w:r>
        <w:rPr>
          <w:caps w:val="false"/>
          <w:smallCaps w:val="false"/>
        </w:rPr>
        <w:t> </w:t>
      </w:r>
    </w:p>
    <w:p>
      <w:pPr>
        <w:pStyle w:val="TextBody"/>
        <w:bidi w:val="0"/>
        <w:spacing w:before="20" w:after="20"/>
        <w:jc w:val="left"/>
        <w:rPr>
          <w:bdr w:val="single" w:sz="24" w:space="1" w:color="000000"/>
        </w:rPr>
      </w:pPr>
      <w:r>
        <w:rPr>
          <w:bdr w:val="single" w:sz="24" w:space="1" w:color="000000"/>
        </w:rPr>
        <w:t> </w:t>
      </w:r>
    </w:p>
    <w:p>
      <w:pPr>
        <w:pStyle w:val="TextBody"/>
        <w:bidi w:val="0"/>
        <w:spacing w:before="20" w:after="20"/>
        <w:jc w:val="left"/>
        <w:rPr>
          <w:bdr w:val="single" w:sz="8" w:space="1" w:color="000000"/>
        </w:rPr>
      </w:pPr>
      <w:r>
        <w:rPr>
          <w:bdr w:val="single" w:sz="8"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812__20"/>
      <w:bookmarkEnd w:id="2"/>
      <w:r>
        <w:rPr>
          <w:rFonts w:ascii="Times New Roman;Times;Serif" w:hAnsi="Times New Roman;Times;Serif"/>
          <w:b/>
          <w:i w:val="false"/>
          <w:caps w:val="false"/>
          <w:smallCaps w:val="false"/>
          <w:sz w:val="20"/>
        </w:rPr>
        <w:t>8-K</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August 12,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D_edei--EntityRegistrantName_c2026"/>
      <w:bookmarkEnd w:id="4"/>
      <w:r>
        <w:rPr>
          <w:rFonts w:ascii="Times New Roman;Times;Serif" w:hAnsi="Times New Roman;Times;Serif"/>
          <w:b/>
          <w:i w:val="false"/>
          <w:caps w:val="false"/>
          <w:smallCaps w:val="false"/>
          <w:sz w:val="28"/>
        </w:rPr>
        <w:t>ZAPATA QUANTUM,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812"/>
            <w:bookmarkEnd w:id="6"/>
            <w:r>
              <w:rPr>
                <w:rFonts w:ascii="Times New Roman;Times;Serif" w:hAnsi="Times New Roman;Times;Serif"/>
                <w:b/>
                <w:sz w:val="20"/>
              </w:rPr>
              <w:t>001-41218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98-1578373</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6 Liberty Square, </w:t>
      </w:r>
      <w:bookmarkStart w:id="9" w:name="xdx_90B_edei--EntityAddressAddressLine2_"/>
      <w:bookmarkEnd w:id="9"/>
      <w:r>
        <w:rPr>
          <w:rFonts w:ascii="Times New Roman;Times;Serif" w:hAnsi="Times New Roman;Times;Serif"/>
          <w:b/>
          <w:i w:val="false"/>
          <w:caps w:val="false"/>
          <w:smallCaps w:val="false"/>
          <w:sz w:val="20"/>
        </w:rPr>
        <w:t>#2488</w:t>
      </w:r>
    </w:p>
    <w:p>
      <w:pPr>
        <w:pStyle w:val="TextBody"/>
        <w:bidi w:val="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Boston, </w:t>
      </w:r>
      <w:bookmarkStart w:id="11" w:name="xdx_903_edei--EntityAddressStateOrProvin"/>
      <w:bookmarkEnd w:id="11"/>
      <w:r>
        <w:rPr>
          <w:rFonts w:ascii="Times New Roman;Times;Serif" w:hAnsi="Times New Roman;Times;Serif"/>
          <w:b/>
          <w:i w:val="false"/>
          <w:caps w:val="false"/>
          <w:smallCaps w:val="false"/>
          <w:sz w:val="20"/>
        </w:rPr>
        <w:t xml:space="preserve">MA </w:t>
      </w:r>
      <w:bookmarkStart w:id="12" w:name="xdx_90E_edei--EntityAddressPostalZipCode"/>
      <w:bookmarkEnd w:id="12"/>
      <w:r>
        <w:rPr>
          <w:rFonts w:ascii="Times New Roman;Times;Serif" w:hAnsi="Times New Roman;Times;Serif"/>
          <w:b/>
          <w:i w:val="false"/>
          <w:caps w:val="false"/>
          <w:smallCaps w:val="false"/>
          <w:sz w:val="20"/>
        </w:rPr>
        <w:t>02109</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A_edei--CityAreaCode_c20260812__20"/>
      <w:bookmarkEnd w:id="13"/>
      <w:r>
        <w:rPr>
          <w:rFonts w:ascii="Times New Roman;Times;Serif" w:hAnsi="Times New Roman;Times;Serif"/>
          <w:b/>
          <w:i w:val="false"/>
          <w:caps w:val="false"/>
          <w:smallCaps w:val="false"/>
          <w:sz w:val="20"/>
          <w:shd w:fill="FFFFFF" w:val="clear"/>
        </w:rPr>
        <w:t xml:space="preserve">(857) </w:t>
      </w:r>
      <w:bookmarkStart w:id="14" w:name="xdx_902_edei--LocalPhoneNumber_c20260812"/>
      <w:bookmarkEnd w:id="14"/>
      <w:r>
        <w:rPr>
          <w:rFonts w:ascii="Times New Roman;Times;Serif" w:hAnsi="Times New Roman;Times;Serif"/>
          <w:b/>
          <w:i w:val="false"/>
          <w:caps w:val="false"/>
          <w:smallCaps w:val="false"/>
          <w:sz w:val="20"/>
          <w:shd w:fill="FFFFFF" w:val="clear"/>
        </w:rPr>
        <w:t>367-9002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and Former Address)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6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75"/>
        <w:gridCol w:w="230"/>
        <w:gridCol w:w="8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E_edei--SolicitingMaterial_c202608"/>
            <w:bookmarkEnd w:id="16"/>
            <w:r>
              <w:rPr/>
              <w:t>☐</w:t>
            </w:r>
          </w:p>
        </w:tc>
        <w:tc>
          <w:tcPr>
            <w:tcW w:w="8825" w:type="dxa"/>
            <w:tcBorders/>
            <w:vAlign w:val="center"/>
          </w:tcPr>
          <w:p>
            <w:pPr>
              <w:pStyle w:val="TableContents"/>
              <w:bidi w:val="0"/>
              <w:spacing w:before="0" w:after="283"/>
              <w:jc w:val="left"/>
              <w:rPr/>
            </w:pPr>
            <w:r>
              <w:rPr/>
              <w:t>Soliciting material pursuant to Rule 14a-12(b)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ind w:left="749" w:right="0" w:hanging="0"/>
        <w:jc w:val="both"/>
        <w:rPr>
          <w:caps w:val="false"/>
          <w:smallCaps w:val="false"/>
        </w:rPr>
      </w:pPr>
      <w:r>
        <w:rPr>
          <w:caps w:val="false"/>
          <w:smallCaps w:val="false"/>
        </w:rPr>
        <w:t> </w:t>
      </w:r>
    </w:p>
    <w:p>
      <w:pPr>
        <w:pStyle w:val="TextBody"/>
        <w:bidi w:val="0"/>
        <w:jc w:val="both"/>
        <w:rPr>
          <w:rFonts w:ascii="Calibri;Helvetica;Sans-Serif" w:hAnsi="Calibri;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6_edei--EntityEmergingGrowthCompan"/>
      <w:bookmarkEnd w:id="19"/>
      <w:r>
        <w:rPr>
          <w:rFonts w:ascii="Calibri;Helvetica;Sans-Serif" w:hAnsi="Calibri;Helvetica;San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checkmark if the registrant has elected not to use the extended transition period for complying with any new or revised financial accounting standards provided pursuant to Section 13(a) of the Exchange Act. </w:t>
      </w:r>
      <w:bookmarkStart w:id="20" w:name="xdx_90F_edei--EntityExTransitionPeriod_c"/>
      <w:bookmarkEnd w:id="20"/>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20" w:after="20"/>
        <w:jc w:val="left"/>
        <w:rPr>
          <w:bdr w:val="single" w:sz="24" w:space="1" w:color="000000"/>
        </w:rPr>
      </w:pPr>
      <w:r>
        <w:rPr>
          <w:bdr w:val="single" w:sz="24"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Zapata Quantum, Inc. (the “Company”) issued a press release announcing a partnership with QuEra, a copy of which is furnished herewith as Exhibit 99.1 of this Current Report on Form 8-K.</w:t>
      </w:r>
    </w:p>
    <w:p>
      <w:pPr>
        <w:pStyle w:val="TextBody"/>
        <w:bidi w:val="0"/>
        <w:spacing w:before="0" w:after="0"/>
        <w:ind w:left="115"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shall not be deemed “filed” for purposes of Section 18 of the Securities Exchange Act of 1934 (the “Exchange Act”) or otherwise subject to the liabilities under such section, and shall not be deemed to be incorporated by reference into any filing of the Company under the Securities Act of 1933 or the Exchange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97"/>
        <w:gridCol w:w="60"/>
        <w:gridCol w:w="6117"/>
        <w:gridCol w:w="60"/>
        <w:gridCol w:w="638"/>
        <w:gridCol w:w="75"/>
        <w:gridCol w:w="523"/>
        <w:gridCol w:w="75"/>
        <w:gridCol w:w="906"/>
        <w:gridCol w:w="60"/>
        <w:gridCol w:w="894"/>
      </w:tblGrid>
      <w:tr>
        <w:trPr/>
        <w:tc>
          <w:tcPr>
            <w:tcW w:w="7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61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7" w:type="dxa"/>
            <w:gridSpan w:val="5"/>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c>
          <w:tcPr>
            <w:tcW w:w="60"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tc>
      </w:tr>
      <w:tr>
        <w:trPr/>
        <w:tc>
          <w:tcPr>
            <w:tcW w:w="79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w:t>
            </w:r>
          </w:p>
        </w:tc>
        <w:tc>
          <w:tcPr>
            <w:tcW w:w="60" w:type="dxa"/>
            <w:tcBorders/>
            <w:shd w:fill="FFFFFF" w:val="clear"/>
            <w:vAlign w:val="center"/>
          </w:tcPr>
          <w:p>
            <w:pPr>
              <w:pStyle w:val="TableContents"/>
              <w:bidi w:val="0"/>
              <w:spacing w:before="0" w:after="283"/>
              <w:jc w:val="center"/>
              <w:rPr/>
            </w:pPr>
            <w:r>
              <w:rPr/>
              <w:t> </w:t>
            </w:r>
          </w:p>
        </w:tc>
        <w:tc>
          <w:tcPr>
            <w:tcW w:w="6117"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shd w:fill="FFFFFF" w:val="clear"/>
            <w:vAlign w:val="center"/>
          </w:tcPr>
          <w:p>
            <w:pPr>
              <w:pStyle w:val="TableContents"/>
              <w:bidi w:val="0"/>
              <w:spacing w:before="0" w:after="283"/>
              <w:jc w:val="center"/>
              <w:rPr/>
            </w:pPr>
            <w:r>
              <w:rPr/>
              <w:t> </w:t>
            </w:r>
          </w:p>
        </w:tc>
        <w:tc>
          <w:tcPr>
            <w:tcW w:w="63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75" w:type="dxa"/>
            <w:tcBorders/>
            <w:shd w:fill="FFFFFF" w:val="clear"/>
            <w:vAlign w:val="center"/>
          </w:tcPr>
          <w:p>
            <w:pPr>
              <w:pStyle w:val="TableContents"/>
              <w:bidi w:val="0"/>
              <w:spacing w:before="0" w:after="283"/>
              <w:jc w:val="center"/>
              <w:rPr/>
            </w:pPr>
            <w:r>
              <w:rPr/>
              <w:t> </w:t>
            </w:r>
          </w:p>
        </w:tc>
        <w:tc>
          <w:tcPr>
            <w:tcW w:w="523"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75" w:type="dxa"/>
            <w:tcBorders/>
            <w:shd w:fill="FFFFFF" w:val="clear"/>
            <w:vAlign w:val="center"/>
          </w:tcPr>
          <w:p>
            <w:pPr>
              <w:pStyle w:val="TableContents"/>
              <w:bidi w:val="0"/>
              <w:spacing w:before="0" w:after="283"/>
              <w:jc w:val="center"/>
              <w:rPr/>
            </w:pPr>
            <w:r>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w:t>
            </w:r>
          </w:p>
        </w:tc>
        <w:tc>
          <w:tcPr>
            <w:tcW w:w="60" w:type="dxa"/>
            <w:tcBorders/>
            <w:shd w:fill="FFFFFF" w:val="clear"/>
            <w:vAlign w:val="center"/>
          </w:tcPr>
          <w:p>
            <w:pPr>
              <w:pStyle w:val="TableContents"/>
              <w:bidi w:val="0"/>
              <w:spacing w:before="0" w:after="283"/>
              <w:jc w:val="center"/>
              <w:rPr/>
            </w:pPr>
            <w:r>
              <w:rPr/>
              <w:t> </w:t>
            </w:r>
          </w:p>
        </w:tc>
        <w:tc>
          <w:tcPr>
            <w:tcW w:w="894"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Herewith</w:t>
            </w:r>
          </w:p>
        </w:tc>
      </w:tr>
      <w:tr>
        <w:trPr/>
        <w:tc>
          <w:tcPr>
            <w:tcW w:w="7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60" w:type="dxa"/>
            <w:tcBorders/>
            <w:shd w:fill="FFFFFF" w:val="clear"/>
            <w:vAlign w:val="center"/>
          </w:tcPr>
          <w:p>
            <w:pPr>
              <w:pStyle w:val="TableContents"/>
              <w:bidi w:val="0"/>
              <w:spacing w:before="0" w:after="283"/>
              <w:jc w:val="center"/>
              <w:rPr/>
            </w:pPr>
            <w:r>
              <w:rPr/>
              <w:t> </w:t>
            </w:r>
          </w:p>
        </w:tc>
        <w:tc>
          <w:tcPr>
            <w:tcW w:w="6117" w:type="dxa"/>
            <w:tcBorders/>
            <w:shd w:fill="FFFFFF" w:val="clear"/>
            <w:vAlign w:val="center"/>
          </w:tcPr>
          <w:p>
            <w:pPr>
              <w:pStyle w:val="TableContents"/>
              <w:bidi w:val="0"/>
              <w:spacing w:before="0" w:after="0"/>
              <w:ind w:left="0" w:right="0" w:hanging="0"/>
              <w:jc w:val="left"/>
              <w:rPr/>
            </w:pPr>
            <w:hyperlink w:anchor="zapata_ex9901.htm">
              <w:r>
                <w:rPr>
                  <w:rStyle w:val="InternetLink"/>
                  <w:rFonts w:ascii="Times New Roman;Times;Serif" w:hAnsi="Times New Roman;Times;Serif"/>
                  <w:b w:val="false"/>
                  <w:i w:val="false"/>
                  <w:caps w:val="false"/>
                  <w:smallCaps w:val="false"/>
                  <w:sz w:val="20"/>
                </w:rPr>
                <w:t>Press Release dated August 12, 2026</w:t>
              </w:r>
            </w:hyperlink>
          </w:p>
        </w:tc>
        <w:tc>
          <w:tcPr>
            <w:tcW w:w="60" w:type="dxa"/>
            <w:tcBorders/>
            <w:shd w:fill="FFFFFF" w:val="clear"/>
            <w:vAlign w:val="center"/>
          </w:tcPr>
          <w:p>
            <w:pPr>
              <w:pStyle w:val="TableContents"/>
              <w:bidi w:val="0"/>
              <w:spacing w:before="0" w:after="283"/>
              <w:jc w:val="center"/>
              <w:rPr/>
            </w:pPr>
            <w:r>
              <w:rPr/>
              <w:t> </w:t>
            </w:r>
          </w:p>
        </w:tc>
        <w:tc>
          <w:tcPr>
            <w:tcW w:w="638"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pPr>
            <w:r>
              <w:rPr/>
              <w:t> </w:t>
            </w:r>
          </w:p>
        </w:tc>
        <w:tc>
          <w:tcPr>
            <w:tcW w:w="523"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pPr>
            <w:r>
              <w:rPr/>
              <w:t> </w:t>
            </w:r>
          </w:p>
        </w:tc>
        <w:tc>
          <w:tcPr>
            <w:tcW w:w="90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Furnished</w:t>
            </w:r>
          </w:p>
        </w:tc>
      </w:tr>
      <w:tr>
        <w:trPr/>
        <w:tc>
          <w:tcPr>
            <w:tcW w:w="797"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center"/>
              <w:rPr/>
            </w:pPr>
            <w:r>
              <w:rPr/>
              <w:t> </w:t>
            </w:r>
          </w:p>
        </w:tc>
        <w:tc>
          <w:tcPr>
            <w:tcW w:w="6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in iXBRL, and included in exhibit 101)</w:t>
            </w:r>
          </w:p>
        </w:tc>
        <w:tc>
          <w:tcPr>
            <w:tcW w:w="60" w:type="dxa"/>
            <w:tcBorders/>
            <w:shd w:fill="FFFFFF" w:val="clear"/>
            <w:vAlign w:val="center"/>
          </w:tcPr>
          <w:p>
            <w:pPr>
              <w:pStyle w:val="TableContents"/>
              <w:bidi w:val="0"/>
              <w:spacing w:before="0" w:after="283"/>
              <w:jc w:val="center"/>
              <w:rPr/>
            </w:pPr>
            <w:r>
              <w:rPr/>
              <w:t> </w:t>
            </w:r>
          </w:p>
        </w:tc>
        <w:tc>
          <w:tcPr>
            <w:tcW w:w="638"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pPr>
            <w:r>
              <w:rPr/>
              <w:t> </w:t>
            </w:r>
          </w:p>
        </w:tc>
        <w:tc>
          <w:tcPr>
            <w:tcW w:w="523" w:type="dxa"/>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pPr>
            <w:r>
              <w:rPr/>
              <w:t> </w:t>
            </w:r>
          </w:p>
        </w:tc>
        <w:tc>
          <w:tcPr>
            <w:tcW w:w="906"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894"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spacing w:before="0" w:after="0"/>
        <w:ind w:left="115"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p>
      <w:pPr>
        <w:pStyle w:val="TextBody"/>
        <w:bidi w:val="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320"/>
        <w:gridCol w:w="3065"/>
      </w:tblGrid>
      <w:tr>
        <w:trPr/>
        <w:tc>
          <w:tcPr>
            <w:tcW w:w="75" w:type="dxa"/>
            <w:tcBorders/>
            <w:vAlign w:val="center"/>
          </w:tcPr>
          <w:p>
            <w:pPr>
              <w:pStyle w:val="TableContents"/>
              <w:bidi w:val="0"/>
              <w:spacing w:before="0" w:after="283"/>
              <w:jc w:val="left"/>
              <w:rPr/>
            </w:pPr>
            <w:r>
              <w:rPr/>
              <w:t> </w:t>
            </w:r>
          </w:p>
        </w:tc>
        <w:tc>
          <w:tcPr>
            <w:tcW w:w="33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ZAPATA QUANTUM,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Sumit Kapur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Sumit Kapur, Chief Executive Officer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jc w:val="left"/>
        <w:rPr>
          <w:caps w:val="false"/>
          <w:smallCaps w:val="false"/>
        </w:rPr>
      </w:pPr>
      <w:r>
        <w:rPr>
          <w:caps w:val="false"/>
          <w:smallCaps w:val="false"/>
        </w:rPr>
        <w:t> </w:t>
      </w:r>
    </w:p>
    <w:p>
      <w:pPr>
        <w:pStyle w:val="TextBody"/>
        <w:bidi w:val="0"/>
        <w:jc w:val="right"/>
        <w:rPr>
          <w:b/>
        </w:rPr>
      </w:pPr>
      <w:bookmarkStart w:id="21" w:name="zapata_ex9901.htm"/>
      <w:bookmarkStart w:id="22" w:name="kszapata_ex9901"/>
      <w:bookmarkEnd w:id="21"/>
      <w:bookmarkEnd w:id="22"/>
      <w:r>
        <w:rPr>
          <w:b/>
        </w:rPr>
        <w:t>Exhibit 99.1</w:t>
      </w:r>
      <w:r>
        <w:br w:type="page"/>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Zapata Quantum Partners with QuEra to Advance the Commercial Viability of Quantum Applications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partnership combines QuEra's fault-tolerant hardware roadmap with Zapata's application intelligence expertise to bridge the quantum applications gap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BOSTON, Massachusetts – August 12, 2026 – </w:t>
      </w:r>
      <w:r>
        <w:rPr>
          <w:rFonts w:ascii="Times New Roman;Times;Serif" w:hAnsi="Times New Roman;Times;Serif"/>
          <w:b w:val="false"/>
          <w:i w:val="false"/>
          <w:caps w:val="false"/>
          <w:smallCaps w:val="false"/>
          <w:sz w:val="20"/>
        </w:rPr>
        <w:t>Zapata Quantum (OTCQB: ZPTA) (“Zapata,” “Zapata Quantum” or the “Company”), a leader in quantum computing algorithm and application development, today announced a partnership with QuEra, a leader in neutral-atom quantum computing, aimed at closing the quantum applications gap.</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"QuEra's commitment to delivering a megaquop-class system via AWS in 2028 is exciting for the field and something we’re looking forward to supporting from the application side," said Sumit Kapur, CEO of Zapata Quantum. "We are uniquely positioned as a hardware-agnostic partner to help enterprises identify which quantum use cases matter, assess when they will become viable, and develop the applications and algorithms needed to drive transformational business value as these systems come online."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partnership seeks to fulfill QuEra's goal of helping enterprises, government programs and HPC centers collaborate on designing and validating applications before quantum hardware reaches full fault-tolerance, and is part of the QuEra Quantum Alliance Program.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By pairing QuEra's leadership in fault-tolerant quantum computing with Zapata's focus on application development, we can further accelerate the path from quantum capability to commercial value," said Yuval Boger, Chief Commercial Officer at QuEra Computing.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collaboration also reflects Zapata’s broader strategy of working with technology leaders across the quantum and AI ecosystems, including its recently announced ongoing partnership with NVIDIA to apply agentic AI to accelerate quantum algorithm development.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how Zapata is delivering Quantum Application Intelligence™, please visit the Company's website.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QuEra</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QuEra is putting quantum to work. As the scientific and commercial leader in neutral-atom quantum computing, we help enterprise innovators leverage quantum to gain competitive advantage, support HPC centers as their users tackle classically intractable problems, and enable government programs to build national and sovereign capabilities. We do this by combining our quantum systems, available on-premises and via the cloud, with application co-design and collaborative research. Born at Harvard and MIT and still advancing together, QuEra builds neutral-atom systems on a public, peer-reviewed path to fault tolerance, and operates globally from Boston, New Mexico, Tokyo, Zurich, and the United Kingdom. As quantum computing moves from "one day" to "Day One," QuEra delivers practical impact today while leading the path toward large-scale, fault-tolerant systems. See what's possible at www.quera.com.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Contact: press@quera.com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Zapata Quantum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is a leading hardware-agnostic, pure-play quantum software company focused on accelerating quantum application development. With a portfolio of more than 60 granted and pending patents developed over seven years, Zapata supports applications across cryptography, pharmaceuticals, finance, materials discovery, defense, and more. The Company is the only organization to have participated across all technical areas of DARPA’s Quantum Benchmarking program and has worked with Fortune 500 enterprises and government agencies to translate quantum advances into real-world impact. The Company’s study demonstrating the potential of quantum-enabled drug discovery was recognized as one of Nature Biotechnology’s Top 10 Papers of 2025. Learn more at zapataquantum.com.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Taylor White</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taylor@hkamarcom.com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Land</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investors@zapataquantum.com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981</Words>
  <Characters>5798</Characters>
  <CharactersWithSpaces>6860</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